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80" w:after="0"/>
        <w:jc w:val="center"/>
        <w:rPr>
          <w:rFonts w:eastAsia="標楷體"/>
          <w:b/>
          <w:b/>
          <w:sz w:val="40"/>
          <w:szCs w:val="40"/>
        </w:rPr>
      </w:pPr>
      <w:bookmarkStart w:id="0" w:name="__DdeLink__486_2458410937"/>
      <w:r>
        <w:rPr>
          <w:rFonts w:eastAsia="標楷體"/>
          <w:b/>
          <w:sz w:val="40"/>
          <w:szCs w:val="40"/>
        </w:rPr>
        <w:t>政府採購各階段防弊機制及執行要點</w:t>
      </w:r>
      <w:bookmarkEnd w:id="0"/>
    </w:p>
    <w:p>
      <w:pPr>
        <w:pStyle w:val="Normal"/>
        <w:spacing w:before="180" w:after="0"/>
        <w:jc w:val="both"/>
        <w:rPr/>
      </w:pPr>
      <w:r>
        <w:rPr>
          <w:rFonts w:eastAsia="標楷體"/>
          <w:b/>
          <w:sz w:val="32"/>
          <w:szCs w:val="20"/>
        </w:rPr>
        <w:t>壹、準備招標文</w:t>
      </w:r>
      <w:r>
        <w:rPr>
          <w:rFonts w:ascii="Times New Roman" w:hAnsi="Times New Roman" w:cs="Times New Roman" w:eastAsia="標楷體"/>
          <w:b/>
          <w:color w:val="auto"/>
          <w:kern w:val="2"/>
          <w:sz w:val="32"/>
          <w:szCs w:val="20"/>
          <w:lang w:val="en-US" w:eastAsia="zh-TW" w:bidi="ar-SA"/>
        </w:rPr>
        <w:t>件階段</w:t>
      </w:r>
    </w:p>
    <w:tbl>
      <w:tblPr>
        <w:tblW w:w="10080" w:type="dxa"/>
        <w:jc w:val="left"/>
        <w:tblInd w:w="-360" w:type="dxa"/>
        <w:tblCellMar>
          <w:top w:w="0" w:type="dxa"/>
          <w:left w:w="28" w:type="dxa"/>
          <w:bottom w:w="0" w:type="dxa"/>
          <w:right w:w="28" w:type="dxa"/>
        </w:tblCellMar>
      </w:tblPr>
      <w:tblGrid>
        <w:gridCol w:w="360"/>
        <w:gridCol w:w="1080"/>
        <w:gridCol w:w="5940"/>
        <w:gridCol w:w="2700"/>
      </w:tblGrid>
      <w:tr>
        <w:trPr>
          <w:tblHeader w:val="true"/>
          <w:trHeight w:val="996" w:hRule="atLeast"/>
        </w:trPr>
        <w:tc>
          <w:tcPr>
            <w:tcW w:w="360" w:type="dxa"/>
            <w:tcBorders>
              <w:top w:val="single" w:sz="12"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b/>
                <w:b/>
                <w:color w:val="000000"/>
              </w:rPr>
            </w:pPr>
            <w:r>
              <w:rPr>
                <w:rFonts w:eastAsia="標楷體"/>
                <w:b/>
                <w:color w:val="000000"/>
              </w:rPr>
              <w:t>項次</w:t>
            </w:r>
          </w:p>
        </w:tc>
        <w:tc>
          <w:tcPr>
            <w:tcW w:w="108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防弊機制</w:t>
            </w:r>
          </w:p>
        </w:tc>
        <w:tc>
          <w:tcPr>
            <w:tcW w:w="594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執行要點</w:t>
            </w:r>
          </w:p>
        </w:tc>
        <w:tc>
          <w:tcPr>
            <w:tcW w:w="2700" w:type="dxa"/>
            <w:tcBorders>
              <w:top w:val="single" w:sz="12" w:space="0" w:color="000000"/>
              <w:left w:val="single" w:sz="6" w:space="0" w:color="000000"/>
              <w:bottom w:val="single" w:sz="6" w:space="0" w:color="000000"/>
              <w:right w:val="single" w:sz="12"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相關法規</w:t>
            </w:r>
          </w:p>
        </w:tc>
      </w:tr>
      <w:tr>
        <w:trPr>
          <w:trHeight w:val="1151"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一</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color w:val="000000"/>
                <w:szCs w:val="20"/>
              </w:rPr>
            </w:pPr>
            <w:r>
              <w:rPr>
                <w:rFonts w:eastAsia="標楷體"/>
                <w:color w:val="000000"/>
                <w:szCs w:val="20"/>
              </w:rPr>
              <w:t>合併招標或依法分別辦理採購（避免違反意圖分批辦理）</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b/>
                <w:b/>
                <w:color w:val="000000"/>
                <w:u w:val="single"/>
              </w:rPr>
            </w:pPr>
            <w:r>
              <w:rPr>
                <w:rFonts w:eastAsia="標楷體"/>
                <w:b/>
                <w:color w:val="000000"/>
                <w:u w:val="single"/>
              </w:rPr>
              <w:t>1.</w:t>
            </w:r>
            <w:r>
              <w:rPr>
                <w:rFonts w:eastAsia="標楷體"/>
                <w:b/>
                <w:color w:val="000000"/>
                <w:u w:val="single"/>
              </w:rPr>
              <w:t>合併招標</w:t>
            </w:r>
          </w:p>
          <w:p>
            <w:pPr>
              <w:pStyle w:val="Normal"/>
              <w:spacing w:lineRule="exact" w:line="360"/>
              <w:ind w:left="2" w:right="0" w:hanging="0"/>
              <w:jc w:val="both"/>
              <w:rPr/>
            </w:pPr>
            <w:r>
              <w:rPr>
                <w:rFonts w:eastAsia="Times New Roman"/>
                <w:color w:val="000000"/>
              </w:rPr>
              <w:t xml:space="preserve">    </w:t>
            </w:r>
            <w:r>
              <w:rPr>
                <w:rFonts w:eastAsia="標楷體"/>
                <w:color w:val="000000"/>
              </w:rPr>
              <w:t>如採購需求可預知且數量確定，不得意圖規避政府採購法（下稱採購法）之適用，分批辦理採購，而應合併辦理採購。</w:t>
            </w:r>
          </w:p>
          <w:p>
            <w:pPr>
              <w:pStyle w:val="Normal"/>
              <w:spacing w:lineRule="exact" w:line="360"/>
              <w:ind w:left="2" w:right="0" w:hanging="0"/>
              <w:jc w:val="both"/>
              <w:rPr>
                <w:rFonts w:eastAsia="標楷體"/>
                <w:b/>
                <w:b/>
                <w:color w:val="000000"/>
                <w:u w:val="single"/>
              </w:rPr>
            </w:pPr>
            <w:r>
              <w:rPr>
                <w:rFonts w:eastAsia="標楷體"/>
                <w:b/>
                <w:color w:val="000000"/>
                <w:u w:val="single"/>
              </w:rPr>
              <w:t>2.</w:t>
            </w:r>
            <w:r>
              <w:rPr>
                <w:rFonts w:eastAsia="標楷體"/>
                <w:b/>
                <w:color w:val="000000"/>
                <w:u w:val="single"/>
              </w:rPr>
              <w:t>得依法適當分別辦理之情形</w:t>
            </w:r>
          </w:p>
          <w:p>
            <w:pPr>
              <w:pStyle w:val="Normal"/>
              <w:spacing w:lineRule="exact" w:line="360"/>
              <w:ind w:left="720" w:right="0" w:hanging="720"/>
              <w:jc w:val="both"/>
              <w:rPr>
                <w:rFonts w:eastAsia="標楷體"/>
                <w:color w:val="000000"/>
              </w:rPr>
            </w:pPr>
            <w:r>
              <w:rPr>
                <w:rFonts w:eastAsia="標楷體"/>
                <w:color w:val="000000"/>
              </w:rPr>
              <w:t>（</w:t>
            </w:r>
            <w:r>
              <w:rPr>
                <w:rFonts w:eastAsia="標楷體"/>
                <w:color w:val="000000"/>
              </w:rPr>
              <w:t>1</w:t>
            </w:r>
            <w:r>
              <w:rPr>
                <w:rFonts w:eastAsia="標楷體"/>
                <w:color w:val="000000"/>
              </w:rPr>
              <w:t>）屬不同標的、不同施工或供應地區、不同需求條件或不同行業廠商之專業項目者，得依採購法施行細則第</w:t>
            </w:r>
            <w:r>
              <w:rPr>
                <w:rFonts w:eastAsia="標楷體"/>
                <w:color w:val="000000"/>
              </w:rPr>
              <w:t>13</w:t>
            </w:r>
            <w:r>
              <w:rPr>
                <w:rFonts w:eastAsia="標楷體"/>
                <w:color w:val="000000"/>
              </w:rPr>
              <w:t>條規定分別辦理採購。</w:t>
            </w:r>
          </w:p>
          <w:p>
            <w:pPr>
              <w:pStyle w:val="Normal"/>
              <w:spacing w:lineRule="exact" w:line="360"/>
              <w:ind w:left="720" w:right="0" w:hanging="720"/>
              <w:jc w:val="both"/>
              <w:rPr>
                <w:rFonts w:eastAsia="標楷體"/>
                <w:color w:val="000000"/>
              </w:rPr>
            </w:pPr>
            <w:r>
              <w:rPr>
                <w:rFonts w:eastAsia="標楷體"/>
                <w:color w:val="000000"/>
              </w:rPr>
              <w:t>（</w:t>
            </w:r>
            <w:r>
              <w:rPr>
                <w:rFonts w:eastAsia="標楷體"/>
                <w:color w:val="000000"/>
              </w:rPr>
              <w:t>2</w:t>
            </w:r>
            <w:r>
              <w:rPr>
                <w:rFonts w:eastAsia="標楷體"/>
                <w:color w:val="000000"/>
              </w:rPr>
              <w:t>）有分批辦理之必要，經上級機關核准，依其總金額核計採購金額，分別按公告金額或查核金額以上之規定辦理。</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14</w:t>
            </w:r>
            <w:r>
              <w:rPr>
                <w:rFonts w:eastAsia="標楷體"/>
                <w:color w:val="000000"/>
              </w:rPr>
              <w:t>條、採購法施行細則第</w:t>
            </w:r>
            <w:r>
              <w:rPr>
                <w:rFonts w:eastAsia="標楷體"/>
                <w:color w:val="000000"/>
              </w:rPr>
              <w:t>13</w:t>
            </w:r>
            <w:r>
              <w:rPr>
                <w:rFonts w:eastAsia="標楷體"/>
                <w:color w:val="000000"/>
              </w:rPr>
              <w:t>條</w:t>
            </w:r>
          </w:p>
        </w:tc>
      </w:tr>
      <w:tr>
        <w:trPr>
          <w:trHeight w:val="1151"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二</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善用公開徵求機制訪價（避免洩密）</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32" w:leader="none"/>
              </w:tabs>
              <w:spacing w:lineRule="exact" w:line="360"/>
              <w:jc w:val="both"/>
              <w:rPr>
                <w:rFonts w:eastAsia="標楷體"/>
                <w:b/>
                <w:b/>
                <w:color w:val="000000"/>
                <w:u w:val="single"/>
              </w:rPr>
            </w:pPr>
            <w:r>
              <w:rPr>
                <w:rFonts w:eastAsia="標楷體"/>
                <w:b/>
                <w:color w:val="000000"/>
                <w:u w:val="single"/>
              </w:rPr>
              <w:t>善用公開說明或徵求價格及規格資料</w:t>
            </w:r>
          </w:p>
          <w:p>
            <w:pPr>
              <w:pStyle w:val="Normal"/>
              <w:spacing w:lineRule="exact" w:line="360"/>
              <w:jc w:val="both"/>
              <w:rPr/>
            </w:pPr>
            <w:r>
              <w:rPr>
                <w:rFonts w:eastAsia="Times New Roman"/>
                <w:color w:val="000000"/>
              </w:rPr>
              <w:t xml:space="preserve">   </w:t>
            </w:r>
            <w:r>
              <w:rPr>
                <w:rFonts w:eastAsia="標楷體"/>
                <w:color w:val="000000"/>
              </w:rPr>
              <w:t>編列預算及制定採購需求，依採購法第</w:t>
            </w:r>
            <w:r>
              <w:rPr>
                <w:rFonts w:eastAsia="標楷體"/>
                <w:color w:val="000000"/>
              </w:rPr>
              <w:t>34</w:t>
            </w:r>
            <w:r>
              <w:rPr>
                <w:rFonts w:eastAsia="標楷體"/>
                <w:color w:val="000000"/>
              </w:rPr>
              <w:t>條第</w:t>
            </w:r>
            <w:r>
              <w:rPr>
                <w:rFonts w:eastAsia="標楷體"/>
                <w:color w:val="000000"/>
              </w:rPr>
              <w:t>1</w:t>
            </w:r>
            <w:r>
              <w:rPr>
                <w:rFonts w:eastAsia="標楷體"/>
                <w:color w:val="000000"/>
              </w:rPr>
              <w:t>項但書及其施行細則第</w:t>
            </w:r>
            <w:r>
              <w:rPr>
                <w:rFonts w:eastAsia="標楷體"/>
                <w:color w:val="000000"/>
              </w:rPr>
              <w:t>34</w:t>
            </w:r>
            <w:r>
              <w:rPr>
                <w:rFonts w:eastAsia="標楷體"/>
                <w:color w:val="000000"/>
              </w:rPr>
              <w:t>條第</w:t>
            </w:r>
            <w:r>
              <w:rPr>
                <w:rFonts w:eastAsia="標楷體"/>
                <w:color w:val="000000"/>
              </w:rPr>
              <w:t>1</w:t>
            </w:r>
            <w:r>
              <w:rPr>
                <w:rFonts w:eastAsia="標楷體"/>
                <w:color w:val="000000"/>
              </w:rPr>
              <w:t>項規定，採「公開說明或藉以公開徵求廠商提供參考資料」方式，向廠商訪價或請其提供參考資料；或將招標文件公開閱覽，徵求民眾或廠商意見，以避免違反保密規定。</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34</w:t>
            </w:r>
            <w:r>
              <w:rPr>
                <w:rFonts w:eastAsia="標楷體"/>
                <w:color w:val="000000"/>
              </w:rPr>
              <w:t>條、採購法施行細則第</w:t>
            </w:r>
            <w:r>
              <w:rPr>
                <w:rFonts w:eastAsia="標楷體"/>
                <w:color w:val="000000"/>
              </w:rPr>
              <w:t>34</w:t>
            </w:r>
            <w:r>
              <w:rPr>
                <w:rFonts w:eastAsia="標楷體"/>
                <w:color w:val="000000"/>
              </w:rPr>
              <w:t>條、公共工程招標文件公開閱覽制度實施要點</w:t>
            </w:r>
          </w:p>
        </w:tc>
      </w:tr>
      <w:tr>
        <w:trPr>
          <w:trHeight w:val="1154"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三</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pPr>
            <w:r>
              <w:rPr>
                <w:rFonts w:eastAsia="標楷體"/>
                <w:color w:val="000000"/>
                <w:szCs w:val="20"/>
              </w:rPr>
              <w:t>訂定規格不得限制競爭</w:t>
            </w:r>
            <w:r>
              <w:rPr>
                <w:rFonts w:eastAsia="標楷體"/>
                <w:color w:val="000000"/>
              </w:rPr>
              <w:t>（避免綁標）</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32" w:leader="none"/>
              </w:tabs>
              <w:spacing w:lineRule="exact" w:line="360"/>
              <w:jc w:val="both"/>
              <w:rPr>
                <w:rFonts w:eastAsia="標楷體"/>
                <w:b/>
                <w:b/>
                <w:color w:val="000000"/>
                <w:u w:val="single"/>
              </w:rPr>
            </w:pPr>
            <w:r>
              <w:rPr>
                <w:rFonts w:eastAsia="標楷體"/>
                <w:b/>
                <w:color w:val="000000"/>
                <w:u w:val="single"/>
              </w:rPr>
              <w:t>依需求妥適訂定規格</w:t>
            </w:r>
          </w:p>
          <w:p>
            <w:pPr>
              <w:pStyle w:val="Normal"/>
              <w:spacing w:lineRule="exact" w:line="360"/>
              <w:jc w:val="both"/>
              <w:rPr/>
            </w:pPr>
            <w:r>
              <w:rPr>
                <w:rFonts w:eastAsia="Times New Roman"/>
                <w:color w:val="000000"/>
              </w:rPr>
              <w:t xml:space="preserve">    </w:t>
            </w:r>
            <w:r>
              <w:rPr>
                <w:rFonts w:eastAsia="標楷體"/>
                <w:color w:val="000000"/>
              </w:rPr>
              <w:t>機關辦理公告金額以上之採購，依採購法第</w:t>
            </w:r>
            <w:r>
              <w:rPr>
                <w:rFonts w:eastAsia="標楷體"/>
                <w:color w:val="000000"/>
              </w:rPr>
              <w:t>26</w:t>
            </w:r>
            <w:r>
              <w:rPr>
                <w:rFonts w:eastAsia="標楷體"/>
                <w:color w:val="000000"/>
              </w:rPr>
              <w:t>條及「政府採購法第二十六條執行注意事項」規定，訂定招標文件之技術規範，應以達成機關需求所必須（不得逾機關所必須者），以避免在目的或效果上有限制競爭。本會</w:t>
            </w:r>
            <w:r>
              <w:rPr>
                <w:rFonts w:eastAsia="標楷體"/>
                <w:color w:val="000000"/>
              </w:rPr>
              <w:t>111</w:t>
            </w:r>
            <w:r>
              <w:rPr>
                <w:rFonts w:eastAsia="標楷體"/>
                <w:color w:val="000000"/>
              </w:rPr>
              <w:t>年</w:t>
            </w:r>
            <w:r>
              <w:rPr>
                <w:rFonts w:eastAsia="標楷體"/>
                <w:color w:val="000000"/>
              </w:rPr>
              <w:t>2</w:t>
            </w:r>
            <w:r>
              <w:rPr>
                <w:rFonts w:eastAsia="標楷體"/>
                <w:color w:val="000000"/>
              </w:rPr>
              <w:t>月</w:t>
            </w:r>
            <w:r>
              <w:rPr>
                <w:rFonts w:eastAsia="標楷體"/>
                <w:color w:val="000000"/>
              </w:rPr>
              <w:t>14</w:t>
            </w:r>
            <w:r>
              <w:rPr>
                <w:rFonts w:eastAsia="標楷體"/>
                <w:color w:val="000000"/>
              </w:rPr>
              <w:t>日工程企字第</w:t>
            </w:r>
            <w:r>
              <w:rPr>
                <w:rFonts w:eastAsia="標楷體"/>
                <w:color w:val="000000"/>
              </w:rPr>
              <w:t>1110100017</w:t>
            </w:r>
            <w:r>
              <w:rPr>
                <w:rFonts w:eastAsia="標楷體"/>
                <w:color w:val="000000"/>
              </w:rPr>
              <w:t>號函，併請參考（公開於本會網站）。</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採購法第</w:t>
            </w:r>
            <w:r>
              <w:rPr>
                <w:rFonts w:eastAsia="標楷體"/>
                <w:color w:val="000000"/>
              </w:rPr>
              <w:t>26</w:t>
            </w:r>
            <w:r>
              <w:rPr>
                <w:rFonts w:eastAsia="標楷體"/>
                <w:color w:val="000000"/>
              </w:rPr>
              <w:t>條、「政府採購法第二十六條執行注意事項」</w:t>
            </w:r>
          </w:p>
        </w:tc>
      </w:tr>
      <w:tr>
        <w:trPr>
          <w:trHeight w:val="1154" w:hRule="atLeast"/>
        </w:trPr>
        <w:tc>
          <w:tcPr>
            <w:tcW w:w="360" w:type="dxa"/>
            <w:tcBorders>
              <w:top w:val="single" w:sz="6" w:space="0" w:color="000000"/>
              <w:left w:val="single" w:sz="12" w:space="0" w:color="000000"/>
              <w:bottom w:val="single" w:sz="12"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四</w:t>
            </w:r>
          </w:p>
        </w:tc>
        <w:tc>
          <w:tcPr>
            <w:tcW w:w="1080" w:type="dxa"/>
            <w:tcBorders>
              <w:top w:val="single" w:sz="6" w:space="0" w:color="000000"/>
              <w:left w:val="single" w:sz="6" w:space="0" w:color="000000"/>
              <w:bottom w:val="single" w:sz="12"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妥適訂定投標廠商資格（避免不當限制競爭）</w:t>
            </w:r>
          </w:p>
        </w:tc>
        <w:tc>
          <w:tcPr>
            <w:tcW w:w="5940" w:type="dxa"/>
            <w:tcBorders>
              <w:top w:val="single" w:sz="6" w:space="0" w:color="000000"/>
              <w:left w:val="single" w:sz="6" w:space="0" w:color="000000"/>
              <w:bottom w:val="single" w:sz="12" w:space="0" w:color="000000"/>
              <w:right w:val="single" w:sz="6" w:space="0" w:color="000000"/>
            </w:tcBorders>
            <w:shd w:fill="auto" w:val="clear"/>
          </w:tcPr>
          <w:p>
            <w:pPr>
              <w:pStyle w:val="Normal"/>
              <w:spacing w:lineRule="exact" w:line="360"/>
              <w:jc w:val="both"/>
              <w:rPr>
                <w:rFonts w:eastAsia="標楷體"/>
                <w:b/>
                <w:b/>
                <w:color w:val="000000"/>
                <w:u w:val="single"/>
              </w:rPr>
            </w:pPr>
            <w:r>
              <w:rPr>
                <w:rFonts w:eastAsia="標楷體"/>
                <w:b/>
                <w:color w:val="000000"/>
                <w:u w:val="single"/>
              </w:rPr>
              <w:t>廠商資格以確認廠商具備履行契約所必須之能力為限</w:t>
            </w:r>
          </w:p>
          <w:p>
            <w:pPr>
              <w:pStyle w:val="Normal"/>
              <w:spacing w:lineRule="exact" w:line="360"/>
              <w:jc w:val="both"/>
              <w:rPr/>
            </w:pPr>
            <w:r>
              <w:rPr>
                <w:rFonts w:eastAsia="Times New Roman"/>
                <w:color w:val="000000"/>
              </w:rPr>
              <w:t xml:space="preserve">    </w:t>
            </w:r>
            <w:r>
              <w:rPr>
                <w:rFonts w:eastAsia="標楷體"/>
                <w:color w:val="000000"/>
              </w:rPr>
              <w:t>機關訂定投標廠商之資格條件，應以確認廠商具備履行契約所必須之能力者為限，另所訂資格，應符合投標廠商資格與特殊或巨額採購認定標準規定所定之條件及內容，以避免不當限制競爭。</w:t>
            </w:r>
          </w:p>
        </w:tc>
        <w:tc>
          <w:tcPr>
            <w:tcW w:w="2700" w:type="dxa"/>
            <w:tcBorders>
              <w:top w:val="single" w:sz="6" w:space="0" w:color="000000"/>
              <w:left w:val="single" w:sz="6" w:space="0" w:color="000000"/>
              <w:bottom w:val="single" w:sz="12"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36</w:t>
            </w:r>
            <w:r>
              <w:rPr>
                <w:rFonts w:eastAsia="標楷體"/>
                <w:color w:val="000000"/>
              </w:rPr>
              <w:t>條、第</w:t>
            </w:r>
            <w:r>
              <w:rPr>
                <w:rFonts w:eastAsia="標楷體"/>
                <w:color w:val="000000"/>
              </w:rPr>
              <w:t>37</w:t>
            </w:r>
            <w:r>
              <w:rPr>
                <w:rFonts w:eastAsia="標楷體"/>
                <w:color w:val="000000"/>
              </w:rPr>
              <w:t>條、投標廠商資格與特殊或巨額採購認定標準</w:t>
            </w:r>
          </w:p>
        </w:tc>
      </w:tr>
    </w:tbl>
    <w:p>
      <w:pPr>
        <w:pStyle w:val="Normal"/>
        <w:spacing w:before="180" w:after="0"/>
        <w:jc w:val="both"/>
        <w:rPr>
          <w:rFonts w:eastAsia="標楷體"/>
          <w:b/>
          <w:b/>
          <w:sz w:val="32"/>
          <w:szCs w:val="20"/>
        </w:rPr>
      </w:pPr>
      <w:r>
        <w:rPr>
          <w:rFonts w:eastAsia="標楷體"/>
          <w:b/>
          <w:sz w:val="32"/>
          <w:szCs w:val="20"/>
        </w:rPr>
      </w:r>
    </w:p>
    <w:p>
      <w:pPr>
        <w:pStyle w:val="Normal"/>
        <w:spacing w:before="180" w:after="0"/>
        <w:jc w:val="both"/>
        <w:rPr/>
      </w:pPr>
      <w:r>
        <w:rPr>
          <w:rFonts w:eastAsia="標楷體"/>
          <w:b/>
          <w:sz w:val="32"/>
          <w:szCs w:val="20"/>
        </w:rPr>
        <w:t>貳、</w:t>
      </w:r>
      <w:r>
        <w:rPr>
          <w:rFonts w:ascii="Times New Roman" w:hAnsi="Times New Roman" w:cs="Times New Roman" w:eastAsia="標楷體"/>
          <w:b/>
          <w:color w:val="auto"/>
          <w:kern w:val="2"/>
          <w:sz w:val="32"/>
          <w:szCs w:val="20"/>
          <w:lang w:val="en-US" w:eastAsia="zh-TW" w:bidi="ar-SA"/>
        </w:rPr>
        <w:t>招標決標階段</w:t>
      </w:r>
    </w:p>
    <w:tbl>
      <w:tblPr>
        <w:tblW w:w="10080" w:type="dxa"/>
        <w:jc w:val="left"/>
        <w:tblInd w:w="-360" w:type="dxa"/>
        <w:tblCellMar>
          <w:top w:w="0" w:type="dxa"/>
          <w:left w:w="28" w:type="dxa"/>
          <w:bottom w:w="0" w:type="dxa"/>
          <w:right w:w="28" w:type="dxa"/>
        </w:tblCellMar>
      </w:tblPr>
      <w:tblGrid>
        <w:gridCol w:w="360"/>
        <w:gridCol w:w="1080"/>
        <w:gridCol w:w="5940"/>
        <w:gridCol w:w="2700"/>
      </w:tblGrid>
      <w:tr>
        <w:trPr>
          <w:tblHeader w:val="true"/>
          <w:trHeight w:val="520" w:hRule="atLeast"/>
        </w:trPr>
        <w:tc>
          <w:tcPr>
            <w:tcW w:w="360" w:type="dxa"/>
            <w:tcBorders>
              <w:top w:val="single" w:sz="12"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b/>
                <w:b/>
                <w:color w:val="000000"/>
              </w:rPr>
            </w:pPr>
            <w:r>
              <w:rPr>
                <w:rFonts w:eastAsia="標楷體"/>
                <w:b/>
                <w:color w:val="000000"/>
              </w:rPr>
              <w:t>項次</w:t>
            </w:r>
          </w:p>
        </w:tc>
        <w:tc>
          <w:tcPr>
            <w:tcW w:w="108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防弊機制</w:t>
            </w:r>
          </w:p>
        </w:tc>
        <w:tc>
          <w:tcPr>
            <w:tcW w:w="594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執行要點</w:t>
            </w:r>
          </w:p>
        </w:tc>
        <w:tc>
          <w:tcPr>
            <w:tcW w:w="2700" w:type="dxa"/>
            <w:tcBorders>
              <w:top w:val="single" w:sz="12" w:space="0" w:color="000000"/>
              <w:left w:val="single" w:sz="6" w:space="0" w:color="000000"/>
              <w:bottom w:val="single" w:sz="6" w:space="0" w:color="000000"/>
              <w:right w:val="single" w:sz="12"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相關法規</w:t>
            </w:r>
          </w:p>
        </w:tc>
      </w:tr>
      <w:tr>
        <w:trPr>
          <w:trHeight w:val="520"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一</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開標時注意投標廠商借牌圍標行為</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jc w:val="both"/>
              <w:rPr>
                <w:rFonts w:eastAsia="標楷體"/>
                <w:b/>
                <w:b/>
                <w:color w:val="000000"/>
                <w:u w:val="single"/>
              </w:rPr>
            </w:pPr>
            <w:r>
              <w:rPr>
                <w:rFonts w:eastAsia="標楷體"/>
                <w:b/>
                <w:color w:val="000000"/>
                <w:u w:val="single"/>
              </w:rPr>
              <w:t>1.</w:t>
            </w:r>
            <w:r>
              <w:rPr>
                <w:rFonts w:eastAsia="標楷體"/>
                <w:b/>
                <w:color w:val="000000"/>
                <w:u w:val="single"/>
              </w:rPr>
              <w:t>查察廠商投標文件有無異常關聯及借牌投標</w:t>
            </w:r>
          </w:p>
          <w:p>
            <w:pPr>
              <w:pStyle w:val="Normal"/>
              <w:spacing w:lineRule="exact" w:line="360"/>
              <w:jc w:val="both"/>
              <w:rPr/>
            </w:pPr>
            <w:r>
              <w:rPr>
                <w:rFonts w:eastAsia="Times New Roman"/>
                <w:color w:val="000000"/>
              </w:rPr>
              <w:t xml:space="preserve">   </w:t>
            </w:r>
            <w:r>
              <w:rPr>
                <w:rFonts w:eastAsia="標楷體"/>
                <w:color w:val="000000"/>
              </w:rPr>
              <w:t>機關辦理開標及審標作業，落實審查廠商投標文件，並注意廠商有無「借用或冒用他人名義或證件投標」、「不同投標廠商間之投標文件內容有重大異常關聯」及「其他影響採購公正之違反法令行為」（例如投標文件筆跡相同、投標標封連號、投標文件所載負責人為同一人、不同投標廠商出席開標人員為同一人、投標文件有刻意製造不合格標情形、出席開標人員非投標廠商人員等）。如有，應依採購法第</w:t>
            </w:r>
            <w:r>
              <w:rPr>
                <w:rFonts w:eastAsia="標楷體"/>
                <w:color w:val="000000"/>
              </w:rPr>
              <w:t>31</w:t>
            </w:r>
            <w:r>
              <w:rPr>
                <w:rFonts w:eastAsia="標楷體"/>
                <w:color w:val="000000"/>
              </w:rPr>
              <w:t>條（不予發還或追繳押標金）、第</w:t>
            </w:r>
            <w:r>
              <w:rPr>
                <w:rFonts w:eastAsia="標楷體"/>
                <w:color w:val="000000"/>
              </w:rPr>
              <w:t>50</w:t>
            </w:r>
            <w:r>
              <w:rPr>
                <w:rFonts w:eastAsia="標楷體"/>
                <w:color w:val="000000"/>
              </w:rPr>
              <w:t>條（不決標予該廠商、撤銷決標、終止或解除契約）及第</w:t>
            </w:r>
            <w:r>
              <w:rPr>
                <w:rFonts w:eastAsia="標楷體"/>
                <w:color w:val="000000"/>
              </w:rPr>
              <w:t>101</w:t>
            </w:r>
            <w:r>
              <w:rPr>
                <w:rFonts w:eastAsia="標楷體"/>
                <w:color w:val="000000"/>
              </w:rPr>
              <w:t>條（通知刊登政府採購公報拒絕往來）規定處理，以避免發生影響採購公平競爭情事。</w:t>
            </w:r>
          </w:p>
          <w:p>
            <w:pPr>
              <w:pStyle w:val="Normal"/>
              <w:spacing w:lineRule="exact" w:line="360"/>
              <w:jc w:val="both"/>
              <w:rPr>
                <w:rFonts w:eastAsia="標楷體"/>
                <w:b/>
                <w:b/>
                <w:color w:val="000000"/>
                <w:u w:val="single"/>
              </w:rPr>
            </w:pPr>
            <w:r>
              <w:rPr>
                <w:rFonts w:eastAsia="標楷體"/>
                <w:b/>
                <w:color w:val="000000"/>
                <w:u w:val="single"/>
              </w:rPr>
              <w:t>2.</w:t>
            </w:r>
            <w:r>
              <w:rPr>
                <w:rFonts w:eastAsia="標楷體"/>
                <w:b/>
                <w:color w:val="000000"/>
                <w:u w:val="single"/>
              </w:rPr>
              <w:t>發現違法情事予以告發</w:t>
            </w:r>
          </w:p>
          <w:p>
            <w:pPr>
              <w:pStyle w:val="Normal"/>
              <w:spacing w:lineRule="exact" w:line="360"/>
              <w:jc w:val="both"/>
              <w:rPr/>
            </w:pPr>
            <w:r>
              <w:rPr>
                <w:rFonts w:eastAsia="Times New Roman"/>
                <w:color w:val="000000"/>
              </w:rPr>
              <w:t xml:space="preserve">   </w:t>
            </w:r>
            <w:r>
              <w:rPr>
                <w:rFonts w:eastAsia="標楷體"/>
                <w:color w:val="000000"/>
              </w:rPr>
              <w:t>機關發現廠商疑有違反採購法第</w:t>
            </w:r>
            <w:r>
              <w:rPr>
                <w:rFonts w:eastAsia="標楷體"/>
                <w:color w:val="000000"/>
              </w:rPr>
              <w:t>87</w:t>
            </w:r>
            <w:r>
              <w:rPr>
                <w:rFonts w:eastAsia="標楷體"/>
                <w:color w:val="000000"/>
              </w:rPr>
              <w:t>條至第</w:t>
            </w:r>
            <w:r>
              <w:rPr>
                <w:rFonts w:eastAsia="標楷體"/>
                <w:color w:val="000000"/>
              </w:rPr>
              <w:t>92</w:t>
            </w:r>
            <w:r>
              <w:rPr>
                <w:rFonts w:eastAsia="標楷體"/>
                <w:color w:val="000000"/>
              </w:rPr>
              <w:t>條之情形者，應立即保全相關證據並通知政風單位。</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31</w:t>
            </w:r>
            <w:r>
              <w:rPr>
                <w:rFonts w:eastAsia="標楷體"/>
                <w:color w:val="000000"/>
              </w:rPr>
              <w:t>條、第</w:t>
            </w:r>
            <w:r>
              <w:rPr>
                <w:rFonts w:eastAsia="標楷體"/>
                <w:color w:val="000000"/>
              </w:rPr>
              <w:t>50</w:t>
            </w:r>
            <w:r>
              <w:rPr>
                <w:rFonts w:eastAsia="標楷體"/>
                <w:color w:val="000000"/>
              </w:rPr>
              <w:t>條、第</w:t>
            </w:r>
            <w:r>
              <w:rPr>
                <w:rFonts w:eastAsia="標楷體"/>
                <w:color w:val="000000"/>
              </w:rPr>
              <w:t>87</w:t>
            </w:r>
            <w:r>
              <w:rPr>
                <w:rFonts w:eastAsia="標楷體"/>
                <w:color w:val="000000"/>
              </w:rPr>
              <w:t>條、本會</w:t>
            </w:r>
            <w:r>
              <w:rPr>
                <w:rFonts w:eastAsia="標楷體"/>
                <w:color w:val="000000"/>
              </w:rPr>
              <w:t>91</w:t>
            </w:r>
            <w:r>
              <w:rPr>
                <w:rFonts w:eastAsia="標楷體"/>
                <w:color w:val="000000"/>
              </w:rPr>
              <w:t>年</w:t>
            </w:r>
            <w:r>
              <w:rPr>
                <w:rFonts w:eastAsia="標楷體"/>
                <w:color w:val="000000"/>
              </w:rPr>
              <w:t>11</w:t>
            </w:r>
            <w:r>
              <w:rPr>
                <w:rFonts w:eastAsia="標楷體"/>
                <w:color w:val="000000"/>
              </w:rPr>
              <w:t>月</w:t>
            </w:r>
            <w:r>
              <w:rPr>
                <w:rFonts w:eastAsia="標楷體"/>
                <w:color w:val="000000"/>
              </w:rPr>
              <w:t>27</w:t>
            </w:r>
            <w:r>
              <w:rPr>
                <w:rFonts w:eastAsia="標楷體"/>
                <w:color w:val="000000"/>
              </w:rPr>
              <w:t>日工程企字第</w:t>
            </w:r>
            <w:r>
              <w:rPr>
                <w:rFonts w:eastAsia="標楷體"/>
                <w:color w:val="000000"/>
              </w:rPr>
              <w:t>09100516820</w:t>
            </w:r>
            <w:r>
              <w:rPr>
                <w:rFonts w:eastAsia="標楷體"/>
                <w:color w:val="000000"/>
              </w:rPr>
              <w:t>號令、</w:t>
            </w:r>
            <w:r>
              <w:rPr>
                <w:rFonts w:eastAsia="標楷體"/>
                <w:color w:val="000000"/>
              </w:rPr>
              <w:t>97</w:t>
            </w:r>
            <w:r>
              <w:rPr>
                <w:rFonts w:eastAsia="標楷體"/>
                <w:color w:val="000000"/>
              </w:rPr>
              <w:t>年</w:t>
            </w:r>
            <w:r>
              <w:rPr>
                <w:rFonts w:eastAsia="標楷體"/>
                <w:color w:val="000000"/>
              </w:rPr>
              <w:t>2</w:t>
            </w:r>
            <w:r>
              <w:rPr>
                <w:rFonts w:eastAsia="標楷體"/>
                <w:color w:val="000000"/>
              </w:rPr>
              <w:t>月</w:t>
            </w:r>
            <w:r>
              <w:rPr>
                <w:rFonts w:eastAsia="標楷體"/>
                <w:color w:val="000000"/>
              </w:rPr>
              <w:t>14</w:t>
            </w:r>
            <w:r>
              <w:rPr>
                <w:rFonts w:eastAsia="標楷體"/>
                <w:color w:val="000000"/>
              </w:rPr>
              <w:t>日工程企字第</w:t>
            </w:r>
            <w:r>
              <w:rPr>
                <w:rFonts w:eastAsia="標楷體"/>
                <w:color w:val="000000"/>
              </w:rPr>
              <w:t>09700060670</w:t>
            </w:r>
            <w:r>
              <w:rPr>
                <w:rFonts w:eastAsia="標楷體"/>
                <w:color w:val="000000"/>
              </w:rPr>
              <w:t>號令、</w:t>
            </w:r>
            <w:r>
              <w:rPr>
                <w:rFonts w:eastAsia="標楷體"/>
                <w:color w:val="000000"/>
              </w:rPr>
              <w:t>95</w:t>
            </w:r>
            <w:r>
              <w:rPr>
                <w:rFonts w:eastAsia="標楷體"/>
                <w:color w:val="000000"/>
              </w:rPr>
              <w:t>年</w:t>
            </w:r>
            <w:r>
              <w:rPr>
                <w:rFonts w:eastAsia="標楷體"/>
                <w:color w:val="000000"/>
              </w:rPr>
              <w:t>7</w:t>
            </w:r>
            <w:r>
              <w:rPr>
                <w:rFonts w:eastAsia="標楷體"/>
                <w:color w:val="000000"/>
              </w:rPr>
              <w:t>月</w:t>
            </w:r>
            <w:r>
              <w:rPr>
                <w:rFonts w:eastAsia="標楷體"/>
                <w:color w:val="000000"/>
              </w:rPr>
              <w:t>25</w:t>
            </w:r>
            <w:r>
              <w:rPr>
                <w:rFonts w:eastAsia="標楷體"/>
                <w:color w:val="000000"/>
              </w:rPr>
              <w:t>日工程企字第</w:t>
            </w:r>
            <w:r>
              <w:rPr>
                <w:rFonts w:eastAsia="標楷體"/>
                <w:color w:val="000000"/>
              </w:rPr>
              <w:t>09500256920</w:t>
            </w:r>
            <w:r>
              <w:rPr>
                <w:rFonts w:eastAsia="標楷體"/>
                <w:color w:val="000000"/>
              </w:rPr>
              <w:t>號令、</w:t>
            </w:r>
            <w:r>
              <w:rPr>
                <w:rFonts w:eastAsia="標楷體"/>
                <w:color w:val="000000"/>
              </w:rPr>
              <w:t>105</w:t>
            </w:r>
            <w:r>
              <w:rPr>
                <w:rFonts w:eastAsia="標楷體"/>
                <w:color w:val="000000"/>
              </w:rPr>
              <w:t>年</w:t>
            </w:r>
            <w:r>
              <w:rPr>
                <w:rFonts w:eastAsia="標楷體"/>
                <w:color w:val="000000"/>
              </w:rPr>
              <w:t>3</w:t>
            </w:r>
            <w:r>
              <w:rPr>
                <w:rFonts w:eastAsia="標楷體"/>
                <w:color w:val="000000"/>
              </w:rPr>
              <w:t>月</w:t>
            </w:r>
            <w:r>
              <w:rPr>
                <w:rFonts w:eastAsia="標楷體"/>
                <w:color w:val="000000"/>
              </w:rPr>
              <w:t>21</w:t>
            </w:r>
            <w:r>
              <w:rPr>
                <w:rFonts w:eastAsia="標楷體"/>
                <w:color w:val="000000"/>
              </w:rPr>
              <w:t>日工程企字第</w:t>
            </w:r>
            <w:r>
              <w:rPr>
                <w:rFonts w:eastAsia="標楷體"/>
                <w:color w:val="000000"/>
              </w:rPr>
              <w:t>10500080180</w:t>
            </w:r>
            <w:r>
              <w:rPr>
                <w:rFonts w:eastAsia="標楷體"/>
                <w:color w:val="000000"/>
              </w:rPr>
              <w:t>號令</w:t>
            </w:r>
          </w:p>
        </w:tc>
      </w:tr>
      <w:tr>
        <w:trPr>
          <w:trHeight w:val="341"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二</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依招標文件規定審標</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8" w:right="0" w:hanging="0"/>
              <w:jc w:val="both"/>
              <w:rPr>
                <w:rFonts w:eastAsia="標楷體"/>
                <w:b/>
                <w:b/>
                <w:color w:val="000000"/>
                <w:u w:val="single"/>
              </w:rPr>
            </w:pPr>
            <w:r>
              <w:rPr>
                <w:rFonts w:eastAsia="標楷體"/>
                <w:b/>
                <w:color w:val="000000"/>
                <w:u w:val="single"/>
              </w:rPr>
              <w:t>核實審標，不得於開標當場變更補充招標文件規定</w:t>
            </w:r>
          </w:p>
          <w:p>
            <w:pPr>
              <w:pStyle w:val="Normal"/>
              <w:spacing w:lineRule="exact" w:line="360"/>
              <w:ind w:left="-28" w:right="0" w:hanging="0"/>
              <w:jc w:val="both"/>
              <w:rPr/>
            </w:pPr>
            <w:r>
              <w:rPr>
                <w:rFonts w:eastAsia="Times New Roman"/>
                <w:color w:val="000000"/>
              </w:rPr>
              <w:t xml:space="preserve">   </w:t>
            </w:r>
            <w:r>
              <w:rPr>
                <w:rFonts w:eastAsia="標楷體"/>
                <w:color w:val="000000"/>
              </w:rPr>
              <w:t>開標後，應依招標文件規定審查廠商投標文件；發現招標文件內容有錯誤時，必要時依採購法第</w:t>
            </w:r>
            <w:r>
              <w:rPr>
                <w:rFonts w:eastAsia="標楷體"/>
                <w:color w:val="000000"/>
              </w:rPr>
              <w:t>48</w:t>
            </w:r>
            <w:r>
              <w:rPr>
                <w:rFonts w:eastAsia="標楷體"/>
                <w:color w:val="000000"/>
              </w:rPr>
              <w:t>條規定不予決標，不得於開標當場宣布補充規定或修正規格。審查廠商投標文件，對其內容有疑義時，得通知投標廠商提出說明；遇明顯打字或書寫錯誤，且與標價無關者，始得允許廠商更正。</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48</w:t>
            </w:r>
            <w:r>
              <w:rPr>
                <w:rFonts w:eastAsia="標楷體"/>
                <w:color w:val="000000"/>
              </w:rPr>
              <w:t>條、第</w:t>
            </w:r>
            <w:r>
              <w:rPr>
                <w:rFonts w:eastAsia="標楷體"/>
                <w:color w:val="000000"/>
              </w:rPr>
              <w:t>50</w:t>
            </w:r>
            <w:r>
              <w:rPr>
                <w:rFonts w:eastAsia="標楷體"/>
                <w:color w:val="000000"/>
              </w:rPr>
              <w:t>條、第</w:t>
            </w:r>
            <w:r>
              <w:rPr>
                <w:rFonts w:eastAsia="標楷體"/>
                <w:color w:val="000000"/>
              </w:rPr>
              <w:t>51</w:t>
            </w:r>
            <w:r>
              <w:rPr>
                <w:rFonts w:eastAsia="標楷體"/>
                <w:color w:val="000000"/>
              </w:rPr>
              <w:t>條、採購法施行細則第</w:t>
            </w:r>
            <w:r>
              <w:rPr>
                <w:rFonts w:eastAsia="標楷體"/>
                <w:color w:val="000000"/>
              </w:rPr>
              <w:t>60</w:t>
            </w:r>
            <w:r>
              <w:rPr>
                <w:rFonts w:eastAsia="標楷體"/>
                <w:color w:val="000000"/>
              </w:rPr>
              <w:t>條</w:t>
            </w:r>
          </w:p>
        </w:tc>
      </w:tr>
      <w:tr>
        <w:trPr>
          <w:trHeight w:val="341"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三</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落實採購評選公正性相關措施</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numPr>
                <w:ilvl w:val="0"/>
                <w:numId w:val="8"/>
              </w:numPr>
              <w:spacing w:lineRule="exact" w:line="360"/>
              <w:jc w:val="both"/>
              <w:rPr>
                <w:rFonts w:eastAsia="標楷體"/>
                <w:b/>
                <w:b/>
                <w:color w:val="000000"/>
                <w:u w:val="single"/>
              </w:rPr>
            </w:pPr>
            <w:r>
              <w:rPr>
                <w:rFonts w:eastAsia="標楷體"/>
                <w:b/>
                <w:color w:val="000000"/>
                <w:u w:val="single"/>
              </w:rPr>
              <w:t>遴選公正且具專門知識之評選委員</w:t>
            </w:r>
          </w:p>
          <w:p>
            <w:pPr>
              <w:pStyle w:val="Normal"/>
              <w:spacing w:lineRule="exact" w:line="360"/>
              <w:ind w:left="0" w:right="0" w:firstLine="480"/>
              <w:jc w:val="both"/>
              <w:rPr>
                <w:rFonts w:eastAsia="標楷體"/>
                <w:color w:val="000000"/>
              </w:rPr>
            </w:pPr>
            <w:r>
              <w:rPr>
                <w:rFonts w:eastAsia="標楷體"/>
                <w:color w:val="000000"/>
              </w:rPr>
              <w:t>遴選公正客觀、操守良好，且具有與採購案相關專門知識之人員擔任評選委員，並注意不得有採購評選委員會組織準則（下稱組織準則）第</w:t>
            </w:r>
            <w:r>
              <w:rPr>
                <w:rFonts w:eastAsia="標楷體"/>
                <w:color w:val="000000"/>
              </w:rPr>
              <w:t>4</w:t>
            </w:r>
            <w:r>
              <w:rPr>
                <w:rFonts w:eastAsia="標楷體"/>
                <w:color w:val="000000"/>
              </w:rPr>
              <w:t>條之</w:t>
            </w:r>
            <w:r>
              <w:rPr>
                <w:rFonts w:eastAsia="標楷體"/>
                <w:color w:val="000000"/>
              </w:rPr>
              <w:t>1</w:t>
            </w:r>
            <w:r>
              <w:rPr>
                <w:rFonts w:eastAsia="標楷體"/>
                <w:color w:val="000000"/>
              </w:rPr>
              <w:t>及第</w:t>
            </w:r>
            <w:r>
              <w:rPr>
                <w:rFonts w:eastAsia="標楷體"/>
                <w:color w:val="000000"/>
              </w:rPr>
              <w:t>5</w:t>
            </w:r>
            <w:r>
              <w:rPr>
                <w:rFonts w:eastAsia="標楷體"/>
                <w:color w:val="000000"/>
              </w:rPr>
              <w:t>條情形。</w:t>
            </w:r>
          </w:p>
          <w:p>
            <w:pPr>
              <w:pStyle w:val="Normal"/>
              <w:numPr>
                <w:ilvl w:val="0"/>
                <w:numId w:val="8"/>
              </w:numPr>
              <w:spacing w:lineRule="exact" w:line="360"/>
              <w:jc w:val="both"/>
              <w:rPr>
                <w:rFonts w:eastAsia="標楷體"/>
                <w:b/>
                <w:b/>
                <w:color w:val="000000"/>
                <w:u w:val="single"/>
              </w:rPr>
            </w:pPr>
            <w:r>
              <w:rPr>
                <w:rFonts w:eastAsia="標楷體"/>
                <w:b/>
                <w:color w:val="000000"/>
                <w:u w:val="single"/>
              </w:rPr>
              <w:t>公開評選委員名單</w:t>
            </w:r>
          </w:p>
          <w:p>
            <w:pPr>
              <w:pStyle w:val="Normal"/>
              <w:spacing w:lineRule="exact" w:line="360"/>
              <w:jc w:val="both"/>
              <w:rPr/>
            </w:pPr>
            <w:r>
              <w:rPr>
                <w:rFonts w:eastAsia="Times New Roman"/>
                <w:color w:val="000000"/>
              </w:rPr>
              <w:t xml:space="preserve">    </w:t>
            </w:r>
            <w:r>
              <w:rPr>
                <w:rFonts w:eastAsia="標楷體"/>
                <w:color w:val="000000"/>
              </w:rPr>
              <w:t>依組織準則第</w:t>
            </w:r>
            <w:r>
              <w:rPr>
                <w:rFonts w:eastAsia="標楷體"/>
                <w:color w:val="000000"/>
              </w:rPr>
              <w:t>6</w:t>
            </w:r>
            <w:r>
              <w:rPr>
                <w:rFonts w:eastAsia="標楷體"/>
                <w:color w:val="000000"/>
              </w:rPr>
              <w:t>條第</w:t>
            </w:r>
            <w:r>
              <w:rPr>
                <w:rFonts w:eastAsia="標楷體"/>
                <w:color w:val="000000"/>
              </w:rPr>
              <w:t>1</w:t>
            </w:r>
            <w:r>
              <w:rPr>
                <w:rFonts w:eastAsia="標楷體"/>
                <w:color w:val="000000"/>
              </w:rPr>
              <w:t>項規定，於成立採購評選委員會時即公開委員名單。</w:t>
            </w:r>
          </w:p>
          <w:p>
            <w:pPr>
              <w:pStyle w:val="Normal"/>
              <w:numPr>
                <w:ilvl w:val="0"/>
                <w:numId w:val="8"/>
              </w:numPr>
              <w:spacing w:lineRule="exact" w:line="360"/>
              <w:jc w:val="both"/>
              <w:rPr>
                <w:rFonts w:eastAsia="標楷體"/>
                <w:b/>
                <w:b/>
                <w:color w:val="000000"/>
                <w:u w:val="single"/>
              </w:rPr>
            </w:pPr>
            <w:r>
              <w:rPr>
                <w:rFonts w:eastAsia="標楷體"/>
                <w:b/>
                <w:color w:val="000000"/>
                <w:u w:val="single"/>
              </w:rPr>
              <w:t>注意評選結果有無明顯差異</w:t>
            </w:r>
          </w:p>
          <w:p>
            <w:pPr>
              <w:pStyle w:val="Normal"/>
              <w:spacing w:lineRule="exact" w:line="360"/>
              <w:ind w:left="0" w:right="0" w:firstLine="480"/>
              <w:jc w:val="both"/>
              <w:rPr>
                <w:rFonts w:eastAsia="標楷體"/>
                <w:color w:val="000000"/>
              </w:rPr>
            </w:pPr>
            <w:r>
              <w:rPr>
                <w:rFonts w:eastAsia="標楷體"/>
                <w:color w:val="000000"/>
              </w:rPr>
              <w:t>不同委員之評選結果如有明顯差異情形，依採購評選委員會審議規則（下稱審議規則）第</w:t>
            </w:r>
            <w:r>
              <w:rPr>
                <w:rFonts w:eastAsia="標楷體"/>
                <w:color w:val="000000"/>
              </w:rPr>
              <w:t>6</w:t>
            </w:r>
            <w:r>
              <w:rPr>
                <w:rFonts w:eastAsia="標楷體"/>
                <w:color w:val="000000"/>
              </w:rPr>
              <w:t>條第</w:t>
            </w:r>
            <w:r>
              <w:rPr>
                <w:rFonts w:eastAsia="標楷體"/>
                <w:color w:val="000000"/>
              </w:rPr>
              <w:t>2</w:t>
            </w:r>
            <w:r>
              <w:rPr>
                <w:rFonts w:eastAsia="標楷體"/>
                <w:color w:val="000000"/>
              </w:rPr>
              <w:t>項規定處理。</w:t>
            </w:r>
          </w:p>
          <w:p>
            <w:pPr>
              <w:pStyle w:val="Normal"/>
              <w:numPr>
                <w:ilvl w:val="0"/>
                <w:numId w:val="8"/>
              </w:numPr>
              <w:spacing w:lineRule="exact" w:line="360"/>
              <w:jc w:val="both"/>
              <w:rPr>
                <w:rFonts w:eastAsia="標楷體"/>
                <w:b/>
                <w:b/>
                <w:color w:val="000000"/>
                <w:u w:val="single"/>
              </w:rPr>
            </w:pPr>
            <w:r>
              <w:rPr>
                <w:rFonts w:eastAsia="標楷體"/>
                <w:b/>
                <w:color w:val="000000"/>
                <w:u w:val="single"/>
              </w:rPr>
              <w:t>評選委員有利益衝突情形應辭職或予以解聘</w:t>
            </w:r>
          </w:p>
          <w:p>
            <w:pPr>
              <w:pStyle w:val="Normal"/>
              <w:spacing w:lineRule="exact" w:line="360"/>
              <w:ind w:left="0" w:right="0" w:firstLine="480"/>
              <w:jc w:val="both"/>
              <w:rPr/>
            </w:pPr>
            <w:r>
              <w:rPr>
                <w:rFonts w:eastAsia="標楷體"/>
                <w:color w:val="000000"/>
              </w:rPr>
              <w:t>評選委員如有審議規則第</w:t>
            </w:r>
            <w:r>
              <w:rPr>
                <w:rFonts w:eastAsia="標楷體"/>
                <w:color w:val="000000"/>
              </w:rPr>
              <w:t>14</w:t>
            </w:r>
            <w:r>
              <w:rPr>
                <w:rFonts w:eastAsia="標楷體"/>
                <w:color w:val="000000"/>
              </w:rPr>
              <w:t>條各款所定情形之一，應即辭職或予以解聘。如辭職或解聘後委員總額或專家、學者人數未達法定人數、比率者，應另行遴選委員補足。</w:t>
            </w:r>
          </w:p>
          <w:p>
            <w:pPr>
              <w:pStyle w:val="Normal"/>
              <w:numPr>
                <w:ilvl w:val="0"/>
                <w:numId w:val="8"/>
              </w:numPr>
              <w:spacing w:lineRule="exact" w:line="360"/>
              <w:jc w:val="both"/>
              <w:rPr>
                <w:rFonts w:eastAsia="標楷體"/>
                <w:b/>
                <w:b/>
                <w:color w:val="000000"/>
                <w:u w:val="single"/>
              </w:rPr>
            </w:pPr>
            <w:r>
              <w:rPr>
                <w:rFonts w:eastAsia="標楷體"/>
                <w:b/>
                <w:color w:val="000000"/>
                <w:u w:val="single"/>
              </w:rPr>
              <w:t>評選委員不得擔任廠商工作成員或協助履約</w:t>
            </w:r>
          </w:p>
          <w:p>
            <w:pPr>
              <w:pStyle w:val="Normal"/>
              <w:spacing w:lineRule="exact" w:line="360"/>
              <w:ind w:left="0" w:right="0" w:firstLine="480"/>
              <w:jc w:val="both"/>
              <w:rPr>
                <w:rFonts w:eastAsia="標楷體"/>
                <w:color w:val="000000"/>
              </w:rPr>
            </w:pPr>
            <w:r>
              <w:rPr>
                <w:rFonts w:eastAsia="標楷體"/>
                <w:color w:val="000000"/>
              </w:rPr>
              <w:t>評選委員自接獲評選有關資料之時起，不得就該採購案參加投標、作為投標廠商之分包廠商或擔任工作成員。其有違反者，機關應不決標予該廠商。</w:t>
            </w:r>
          </w:p>
          <w:p>
            <w:pPr>
              <w:pStyle w:val="Normal"/>
              <w:spacing w:lineRule="exact" w:line="360"/>
              <w:ind w:left="0" w:right="0" w:firstLine="480"/>
              <w:jc w:val="both"/>
              <w:rPr>
                <w:rFonts w:eastAsia="標楷體"/>
                <w:color w:val="000000"/>
              </w:rPr>
            </w:pPr>
            <w:r>
              <w:rPr>
                <w:rFonts w:eastAsia="標楷體"/>
                <w:color w:val="000000"/>
              </w:rPr>
              <w:t>評選委員於所評採購個案決標後，不得擔任得標廠商該案之履約工作成員，或協助履約。如有違反者，依審議規則第</w:t>
            </w:r>
            <w:r>
              <w:rPr>
                <w:rFonts w:eastAsia="標楷體"/>
                <w:color w:val="000000"/>
              </w:rPr>
              <w:t>14</w:t>
            </w:r>
            <w:r>
              <w:rPr>
                <w:rFonts w:eastAsia="標楷體"/>
                <w:color w:val="000000"/>
              </w:rPr>
              <w:t>條之</w:t>
            </w:r>
            <w:r>
              <w:rPr>
                <w:rFonts w:eastAsia="標楷體"/>
                <w:color w:val="000000"/>
              </w:rPr>
              <w:t>1</w:t>
            </w:r>
            <w:r>
              <w:rPr>
                <w:rFonts w:eastAsia="標楷體"/>
                <w:color w:val="000000"/>
              </w:rPr>
              <w:t>第</w:t>
            </w:r>
            <w:r>
              <w:rPr>
                <w:rFonts w:eastAsia="標楷體"/>
                <w:color w:val="000000"/>
              </w:rPr>
              <w:t>3</w:t>
            </w:r>
            <w:r>
              <w:rPr>
                <w:rFonts w:eastAsia="標楷體"/>
                <w:color w:val="000000"/>
              </w:rPr>
              <w:t>項規定，終止或解除該採購契約。</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組織準則第</w:t>
            </w:r>
            <w:r>
              <w:rPr>
                <w:rFonts w:eastAsia="標楷體"/>
                <w:color w:val="000000"/>
              </w:rPr>
              <w:t>4</w:t>
            </w:r>
            <w:r>
              <w:rPr>
                <w:rFonts w:eastAsia="標楷體"/>
                <w:color w:val="000000"/>
              </w:rPr>
              <w:t>條、第</w:t>
            </w:r>
            <w:r>
              <w:rPr>
                <w:rFonts w:eastAsia="標楷體"/>
                <w:color w:val="000000"/>
              </w:rPr>
              <w:t>4</w:t>
            </w:r>
            <w:r>
              <w:rPr>
                <w:rFonts w:eastAsia="標楷體"/>
                <w:color w:val="000000"/>
              </w:rPr>
              <w:t>條之</w:t>
            </w:r>
            <w:r>
              <w:rPr>
                <w:rFonts w:eastAsia="標楷體"/>
                <w:color w:val="000000"/>
              </w:rPr>
              <w:t>1</w:t>
            </w:r>
            <w:r>
              <w:rPr>
                <w:rFonts w:eastAsia="標楷體"/>
                <w:color w:val="000000"/>
              </w:rPr>
              <w:t>、第</w:t>
            </w:r>
            <w:r>
              <w:rPr>
                <w:rFonts w:eastAsia="標楷體"/>
                <w:color w:val="000000"/>
              </w:rPr>
              <w:t>5</w:t>
            </w:r>
            <w:r>
              <w:rPr>
                <w:rFonts w:eastAsia="標楷體"/>
                <w:color w:val="000000"/>
              </w:rPr>
              <w:t>條、第</w:t>
            </w:r>
            <w:r>
              <w:rPr>
                <w:rFonts w:eastAsia="標楷體"/>
                <w:color w:val="000000"/>
              </w:rPr>
              <w:t>6</w:t>
            </w:r>
            <w:r>
              <w:rPr>
                <w:rFonts w:eastAsia="標楷體"/>
                <w:color w:val="000000"/>
              </w:rPr>
              <w:t>條、審議規則第</w:t>
            </w:r>
            <w:r>
              <w:rPr>
                <w:rFonts w:eastAsia="標楷體"/>
                <w:color w:val="000000"/>
              </w:rPr>
              <w:t>6</w:t>
            </w:r>
            <w:r>
              <w:rPr>
                <w:rFonts w:eastAsia="標楷體"/>
                <w:color w:val="000000"/>
              </w:rPr>
              <w:t>條、第</w:t>
            </w:r>
            <w:r>
              <w:rPr>
                <w:rFonts w:eastAsia="標楷體"/>
                <w:color w:val="000000"/>
              </w:rPr>
              <w:t>9</w:t>
            </w:r>
            <w:r>
              <w:rPr>
                <w:rFonts w:eastAsia="標楷體"/>
                <w:color w:val="000000"/>
              </w:rPr>
              <w:t>條、第</w:t>
            </w:r>
            <w:r>
              <w:rPr>
                <w:rFonts w:eastAsia="標楷體"/>
                <w:color w:val="000000"/>
              </w:rPr>
              <w:t>14</w:t>
            </w:r>
            <w:r>
              <w:rPr>
                <w:rFonts w:eastAsia="標楷體"/>
                <w:color w:val="000000"/>
              </w:rPr>
              <w:t>條、第</w:t>
            </w:r>
            <w:r>
              <w:rPr>
                <w:rFonts w:eastAsia="標楷體"/>
                <w:color w:val="000000"/>
              </w:rPr>
              <w:t>14</w:t>
            </w:r>
            <w:r>
              <w:rPr>
                <w:rFonts w:eastAsia="標楷體"/>
                <w:color w:val="000000"/>
              </w:rPr>
              <w:t>條之</w:t>
            </w:r>
            <w:r>
              <w:rPr>
                <w:rFonts w:eastAsia="標楷體"/>
                <w:color w:val="000000"/>
              </w:rPr>
              <w:t>1</w:t>
            </w:r>
          </w:p>
        </w:tc>
      </w:tr>
      <w:tr>
        <w:trPr>
          <w:trHeight w:val="356" w:hRule="atLeast"/>
        </w:trPr>
        <w:tc>
          <w:tcPr>
            <w:tcW w:w="360" w:type="dxa"/>
            <w:tcBorders>
              <w:top w:val="single" w:sz="6" w:space="0" w:color="000000"/>
              <w:left w:val="single" w:sz="12" w:space="0" w:color="000000"/>
              <w:bottom w:val="single" w:sz="12"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四</w:t>
            </w:r>
          </w:p>
        </w:tc>
        <w:tc>
          <w:tcPr>
            <w:tcW w:w="1080" w:type="dxa"/>
            <w:tcBorders>
              <w:top w:val="single" w:sz="6" w:space="0" w:color="000000"/>
              <w:left w:val="single" w:sz="6" w:space="0" w:color="000000"/>
              <w:bottom w:val="single" w:sz="12" w:space="0" w:color="000000"/>
              <w:right w:val="single" w:sz="6" w:space="0" w:color="000000"/>
            </w:tcBorders>
            <w:shd w:fill="auto" w:val="clear"/>
          </w:tcPr>
          <w:p>
            <w:pPr>
              <w:pStyle w:val="Normal"/>
              <w:spacing w:lineRule="exact" w:line="360"/>
              <w:ind w:left="2" w:right="0" w:hanging="0"/>
              <w:jc w:val="both"/>
              <w:rPr>
                <w:rFonts w:eastAsia="標楷體"/>
                <w:color w:val="000000"/>
              </w:rPr>
            </w:pPr>
            <w:r>
              <w:rPr>
                <w:rFonts w:eastAsia="標楷體"/>
                <w:color w:val="000000"/>
              </w:rPr>
              <w:t>避免低價搶標，影響品質</w:t>
            </w:r>
          </w:p>
        </w:tc>
        <w:tc>
          <w:tcPr>
            <w:tcW w:w="5940" w:type="dxa"/>
            <w:tcBorders>
              <w:top w:val="single" w:sz="6" w:space="0" w:color="000000"/>
              <w:left w:val="single" w:sz="6" w:space="0" w:color="000000"/>
              <w:bottom w:val="single" w:sz="12" w:space="0" w:color="000000"/>
              <w:right w:val="single" w:sz="6" w:space="0" w:color="000000"/>
            </w:tcBorders>
            <w:shd w:fill="auto" w:val="clear"/>
          </w:tcPr>
          <w:p>
            <w:pPr>
              <w:pStyle w:val="Normal"/>
              <w:numPr>
                <w:ilvl w:val="0"/>
                <w:numId w:val="1"/>
              </w:numPr>
              <w:spacing w:lineRule="exact" w:line="360"/>
              <w:jc w:val="both"/>
              <w:rPr>
                <w:rFonts w:eastAsia="標楷體"/>
                <w:b/>
                <w:b/>
                <w:color w:val="000000"/>
                <w:u w:val="single"/>
              </w:rPr>
            </w:pPr>
            <w:r>
              <w:rPr>
                <w:rFonts w:eastAsia="標楷體"/>
                <w:b/>
                <w:color w:val="000000"/>
                <w:u w:val="single"/>
              </w:rPr>
              <w:t>落實審查標價偏低情形</w:t>
            </w:r>
          </w:p>
          <w:p>
            <w:pPr>
              <w:pStyle w:val="Normal"/>
              <w:spacing w:lineRule="exact" w:line="360"/>
              <w:jc w:val="both"/>
              <w:rPr/>
            </w:pPr>
            <w:r>
              <w:rPr>
                <w:rFonts w:eastAsia="Times New Roman"/>
                <w:color w:val="000000"/>
              </w:rPr>
              <w:t xml:space="preserve">    </w:t>
            </w:r>
            <w:r>
              <w:rPr>
                <w:rFonts w:eastAsia="標楷體"/>
                <w:color w:val="000000"/>
              </w:rPr>
              <w:t>最低標廠商之總標價偏低時，落實「依政府採購法第五十八條處理總標價低於底價百分之八十案件之執行程序」，以避免發生降低品質、不能誠信履約之情形。</w:t>
            </w:r>
          </w:p>
          <w:p>
            <w:pPr>
              <w:pStyle w:val="Normal"/>
              <w:numPr>
                <w:ilvl w:val="0"/>
                <w:numId w:val="1"/>
              </w:numPr>
              <w:spacing w:lineRule="exact" w:line="360"/>
              <w:jc w:val="both"/>
              <w:rPr>
                <w:rFonts w:eastAsia="標楷體"/>
                <w:b/>
                <w:b/>
                <w:color w:val="000000"/>
                <w:u w:val="single"/>
              </w:rPr>
            </w:pPr>
            <w:r>
              <w:rPr>
                <w:rFonts w:eastAsia="標楷體"/>
                <w:b/>
                <w:color w:val="000000"/>
                <w:u w:val="single"/>
              </w:rPr>
              <w:t>審查程序應迅速合理</w:t>
            </w:r>
          </w:p>
          <w:p>
            <w:pPr>
              <w:pStyle w:val="Normal"/>
              <w:spacing w:lineRule="exact" w:line="360"/>
              <w:jc w:val="both"/>
              <w:rPr/>
            </w:pPr>
            <w:r>
              <w:rPr>
                <w:rFonts w:eastAsia="Times New Roman"/>
                <w:color w:val="000000"/>
              </w:rPr>
              <w:t xml:space="preserve">    </w:t>
            </w:r>
            <w:r>
              <w:rPr>
                <w:rFonts w:eastAsia="標楷體"/>
                <w:color w:val="000000"/>
              </w:rPr>
              <w:t>機關限期通知廠商提出說明，其所訂期限及認定廠商說明是否合理之程序，應迅速合理，避免最低標與其他廠商串通瓜分利益。</w:t>
            </w:r>
          </w:p>
        </w:tc>
        <w:tc>
          <w:tcPr>
            <w:tcW w:w="2700" w:type="dxa"/>
            <w:tcBorders>
              <w:top w:val="single" w:sz="6" w:space="0" w:color="000000"/>
              <w:left w:val="single" w:sz="6" w:space="0" w:color="000000"/>
              <w:bottom w:val="single" w:sz="12"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58</w:t>
            </w:r>
            <w:r>
              <w:rPr>
                <w:rFonts w:eastAsia="標楷體"/>
                <w:color w:val="000000"/>
              </w:rPr>
              <w:t>條、採購法施行細則第</w:t>
            </w:r>
            <w:r>
              <w:rPr>
                <w:rFonts w:eastAsia="標楷體"/>
                <w:color w:val="000000"/>
              </w:rPr>
              <w:t>79</w:t>
            </w:r>
            <w:r>
              <w:rPr>
                <w:rFonts w:eastAsia="標楷體"/>
                <w:color w:val="000000"/>
              </w:rPr>
              <w:t>條、第</w:t>
            </w:r>
            <w:r>
              <w:rPr>
                <w:rFonts w:eastAsia="標楷體"/>
                <w:color w:val="000000"/>
              </w:rPr>
              <w:t>80</w:t>
            </w:r>
            <w:r>
              <w:rPr>
                <w:rFonts w:eastAsia="標楷體"/>
                <w:color w:val="000000"/>
              </w:rPr>
              <w:t>條、依政府採購法第五十八條處理總標價低於底價百分之八十案件之執行程序</w:t>
            </w:r>
          </w:p>
        </w:tc>
      </w:tr>
    </w:tbl>
    <w:p>
      <w:pPr>
        <w:pStyle w:val="Normal"/>
        <w:spacing w:before="180" w:after="0"/>
        <w:jc w:val="both"/>
        <w:rPr/>
      </w:pPr>
      <w:r>
        <w:rPr>
          <w:rFonts w:eastAsia="標楷體"/>
          <w:b/>
          <w:sz w:val="32"/>
          <w:szCs w:val="20"/>
        </w:rPr>
        <w:t>參、</w:t>
      </w:r>
      <w:r>
        <w:rPr>
          <w:rFonts w:ascii="Times New Roman" w:hAnsi="Times New Roman" w:cs="Times New Roman" w:eastAsia="標楷體"/>
          <w:b/>
          <w:color w:val="auto"/>
          <w:kern w:val="2"/>
          <w:sz w:val="32"/>
          <w:szCs w:val="20"/>
          <w:lang w:val="en-US" w:eastAsia="zh-TW" w:bidi="ar-SA"/>
        </w:rPr>
        <w:t>履約驗收階段</w:t>
      </w:r>
    </w:p>
    <w:tbl>
      <w:tblPr>
        <w:tblW w:w="10080" w:type="dxa"/>
        <w:jc w:val="left"/>
        <w:tblInd w:w="-360" w:type="dxa"/>
        <w:tblCellMar>
          <w:top w:w="0" w:type="dxa"/>
          <w:left w:w="28" w:type="dxa"/>
          <w:bottom w:w="0" w:type="dxa"/>
          <w:right w:w="28" w:type="dxa"/>
        </w:tblCellMar>
      </w:tblPr>
      <w:tblGrid>
        <w:gridCol w:w="360"/>
        <w:gridCol w:w="1080"/>
        <w:gridCol w:w="5940"/>
        <w:gridCol w:w="2700"/>
      </w:tblGrid>
      <w:tr>
        <w:trPr>
          <w:tblHeader w:val="true"/>
          <w:trHeight w:val="520" w:hRule="atLeast"/>
        </w:trPr>
        <w:tc>
          <w:tcPr>
            <w:tcW w:w="360" w:type="dxa"/>
            <w:tcBorders>
              <w:top w:val="single" w:sz="12"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b/>
                <w:b/>
                <w:color w:val="000000"/>
              </w:rPr>
            </w:pPr>
            <w:r>
              <w:rPr>
                <w:rFonts w:eastAsia="標楷體"/>
                <w:b/>
                <w:color w:val="000000"/>
              </w:rPr>
              <w:t>項次</w:t>
            </w:r>
          </w:p>
        </w:tc>
        <w:tc>
          <w:tcPr>
            <w:tcW w:w="108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防弊機制</w:t>
            </w:r>
          </w:p>
        </w:tc>
        <w:tc>
          <w:tcPr>
            <w:tcW w:w="594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執行要點</w:t>
            </w:r>
          </w:p>
        </w:tc>
        <w:tc>
          <w:tcPr>
            <w:tcW w:w="2700" w:type="dxa"/>
            <w:tcBorders>
              <w:top w:val="single" w:sz="12" w:space="0" w:color="000000"/>
              <w:left w:val="single" w:sz="6" w:space="0" w:color="000000"/>
              <w:bottom w:val="single" w:sz="6" w:space="0" w:color="000000"/>
              <w:right w:val="single" w:sz="12"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相關法規</w:t>
            </w:r>
          </w:p>
        </w:tc>
      </w:tr>
      <w:tr>
        <w:trPr>
          <w:trHeight w:val="370"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一</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契約變更應有正當理由</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numPr>
                <w:ilvl w:val="0"/>
                <w:numId w:val="6"/>
              </w:numPr>
              <w:spacing w:lineRule="exact" w:line="360"/>
              <w:jc w:val="both"/>
              <w:rPr>
                <w:rFonts w:eastAsia="標楷體"/>
                <w:b/>
                <w:b/>
                <w:color w:val="000000"/>
                <w:u w:val="single"/>
              </w:rPr>
            </w:pPr>
            <w:r>
              <w:rPr>
                <w:rFonts w:eastAsia="標楷體"/>
                <w:b/>
                <w:color w:val="000000"/>
                <w:u w:val="single"/>
              </w:rPr>
              <w:t>契約變更應評估必要性及正當性</w:t>
            </w:r>
          </w:p>
          <w:p>
            <w:pPr>
              <w:pStyle w:val="Normal"/>
              <w:spacing w:lineRule="exact" w:line="360"/>
              <w:ind w:left="0" w:right="0" w:firstLine="480"/>
              <w:jc w:val="both"/>
              <w:rPr>
                <w:rFonts w:eastAsia="標楷體"/>
                <w:color w:val="000000"/>
              </w:rPr>
            </w:pPr>
            <w:r>
              <w:rPr>
                <w:rFonts w:eastAsia="標楷體"/>
                <w:color w:val="000000"/>
              </w:rPr>
              <w:t>契約內容須變更者，應依據契約約定程序辦理，且應檢討評估其必要性及具正當理由（例如契約標示廠牌或型號不再製造或供應）。</w:t>
            </w:r>
          </w:p>
          <w:p>
            <w:pPr>
              <w:pStyle w:val="Normal"/>
              <w:numPr>
                <w:ilvl w:val="0"/>
                <w:numId w:val="6"/>
              </w:numPr>
              <w:spacing w:lineRule="exact" w:line="360"/>
              <w:jc w:val="both"/>
              <w:rPr>
                <w:rFonts w:eastAsia="標楷體"/>
                <w:b/>
                <w:b/>
                <w:color w:val="000000"/>
                <w:u w:val="single"/>
              </w:rPr>
            </w:pPr>
            <w:r>
              <w:rPr>
                <w:rFonts w:eastAsia="標楷體"/>
                <w:b/>
                <w:color w:val="000000"/>
                <w:u w:val="single"/>
              </w:rPr>
              <w:t>契約變更之累計金額逾公告金額十分之一者，應符合採限制性招標之核准規定</w:t>
            </w:r>
          </w:p>
          <w:p>
            <w:pPr>
              <w:pStyle w:val="Normal"/>
              <w:spacing w:lineRule="exact" w:line="360"/>
              <w:ind w:left="0" w:right="0" w:firstLine="480"/>
              <w:jc w:val="both"/>
              <w:rPr>
                <w:rFonts w:eastAsia="標楷體"/>
                <w:color w:val="000000"/>
              </w:rPr>
            </w:pPr>
            <w:r>
              <w:rPr>
                <w:rFonts w:eastAsia="標楷體"/>
                <w:color w:val="000000"/>
              </w:rPr>
              <w:t>履約過程，如契約標的之價格或數量須變更，應視變更部分之累計金額（契約價金變更之「加帳金額」及「減帳絕對值」合計之累計金額）依「採購契約變更或加減價核准監辦備查規定一覽表」擇適當項次辦理核准及監辦程序；加帳累計金額在公告金額以上者，應符合採購法第</w:t>
            </w:r>
            <w:r>
              <w:rPr>
                <w:rFonts w:eastAsia="標楷體"/>
                <w:color w:val="000000"/>
              </w:rPr>
              <w:t>22</w:t>
            </w:r>
            <w:r>
              <w:rPr>
                <w:rFonts w:eastAsia="標楷體"/>
                <w:color w:val="000000"/>
              </w:rPr>
              <w:t>條第</w:t>
            </w:r>
            <w:r>
              <w:rPr>
                <w:rFonts w:eastAsia="標楷體"/>
                <w:color w:val="000000"/>
              </w:rPr>
              <w:t>1</w:t>
            </w:r>
            <w:r>
              <w:rPr>
                <w:rFonts w:eastAsia="標楷體"/>
                <w:color w:val="000000"/>
              </w:rPr>
              <w:t>項各款情形之一；加帳累計金額逾公告金額十分之一，未達公告金額者，中央機關應符合「中央機關未達公告金額採購招標辦法」（地方政府未另定規定者，比照中央）第</w:t>
            </w:r>
            <w:r>
              <w:rPr>
                <w:rFonts w:eastAsia="標楷體"/>
                <w:color w:val="000000"/>
              </w:rPr>
              <w:t>2</w:t>
            </w:r>
            <w:r>
              <w:rPr>
                <w:rFonts w:eastAsia="標楷體"/>
                <w:color w:val="000000"/>
              </w:rPr>
              <w:t>條第</w:t>
            </w:r>
            <w:r>
              <w:rPr>
                <w:rFonts w:eastAsia="標楷體"/>
                <w:color w:val="000000"/>
              </w:rPr>
              <w:t>1</w:t>
            </w:r>
            <w:r>
              <w:rPr>
                <w:rFonts w:eastAsia="標楷體"/>
                <w:color w:val="000000"/>
              </w:rPr>
              <w:t>項第</w:t>
            </w:r>
            <w:r>
              <w:rPr>
                <w:rFonts w:eastAsia="標楷體"/>
                <w:color w:val="000000"/>
              </w:rPr>
              <w:t>1</w:t>
            </w:r>
            <w:r>
              <w:rPr>
                <w:rFonts w:eastAsia="標楷體"/>
                <w:color w:val="000000"/>
              </w:rPr>
              <w:t>款或第</w:t>
            </w:r>
            <w:r>
              <w:rPr>
                <w:rFonts w:eastAsia="標楷體"/>
                <w:color w:val="000000"/>
              </w:rPr>
              <w:t>2</w:t>
            </w:r>
            <w:r>
              <w:rPr>
                <w:rFonts w:eastAsia="標楷體"/>
                <w:color w:val="000000"/>
              </w:rPr>
              <w:t>款規定。契約變更後致原決標金額增加者，該增加之金額應依採購法第</w:t>
            </w:r>
            <w:r>
              <w:rPr>
                <w:rFonts w:eastAsia="標楷體"/>
                <w:color w:val="000000"/>
              </w:rPr>
              <w:t>61</w:t>
            </w:r>
            <w:r>
              <w:rPr>
                <w:rFonts w:eastAsia="標楷體"/>
                <w:color w:val="000000"/>
              </w:rPr>
              <w:t>條或第</w:t>
            </w:r>
            <w:r>
              <w:rPr>
                <w:rFonts w:eastAsia="標楷體"/>
                <w:color w:val="000000"/>
              </w:rPr>
              <w:t>62</w:t>
            </w:r>
            <w:r>
              <w:rPr>
                <w:rFonts w:eastAsia="標楷體"/>
                <w:color w:val="000000"/>
              </w:rPr>
              <w:t>條刊登決標公告或定期彙送。</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22</w:t>
            </w:r>
            <w:r>
              <w:rPr>
                <w:rFonts w:eastAsia="標楷體"/>
                <w:color w:val="000000"/>
              </w:rPr>
              <w:t>條、第</w:t>
            </w:r>
            <w:r>
              <w:rPr>
                <w:rFonts w:eastAsia="標楷體"/>
                <w:color w:val="000000"/>
              </w:rPr>
              <w:t>61</w:t>
            </w:r>
            <w:r>
              <w:rPr>
                <w:rFonts w:eastAsia="標楷體"/>
                <w:color w:val="000000"/>
              </w:rPr>
              <w:t>條、第</w:t>
            </w:r>
            <w:r>
              <w:rPr>
                <w:rFonts w:eastAsia="標楷體"/>
                <w:color w:val="000000"/>
              </w:rPr>
              <w:t>62</w:t>
            </w:r>
            <w:r>
              <w:rPr>
                <w:rFonts w:eastAsia="標楷體"/>
                <w:color w:val="000000"/>
              </w:rPr>
              <w:t>條、中央機關未達公告金額採購招標辦法、採購契約變更或加減價核准監辦備查規定一覽表</w:t>
            </w:r>
          </w:p>
        </w:tc>
      </w:tr>
      <w:tr>
        <w:trPr>
          <w:trHeight w:val="356"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二</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確認廠商自行履約，避免廠商轉包或借牌</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numPr>
                <w:ilvl w:val="0"/>
                <w:numId w:val="3"/>
              </w:numPr>
              <w:spacing w:lineRule="exact" w:line="360"/>
              <w:jc w:val="both"/>
              <w:rPr>
                <w:rFonts w:eastAsia="標楷體"/>
                <w:b/>
                <w:b/>
                <w:color w:val="000000"/>
                <w:u w:val="single"/>
              </w:rPr>
            </w:pPr>
            <w:r>
              <w:rPr>
                <w:rFonts w:eastAsia="標楷體"/>
                <w:b/>
                <w:color w:val="000000"/>
                <w:u w:val="single"/>
              </w:rPr>
              <w:t>廠商自行履行契約主要部分</w:t>
            </w:r>
          </w:p>
          <w:p>
            <w:pPr>
              <w:pStyle w:val="Normal"/>
              <w:spacing w:lineRule="exact" w:line="360"/>
              <w:ind w:left="0" w:right="0" w:firstLine="480"/>
              <w:jc w:val="both"/>
              <w:rPr>
                <w:rFonts w:eastAsia="標楷體"/>
                <w:color w:val="000000"/>
              </w:rPr>
            </w:pPr>
            <w:r>
              <w:rPr>
                <w:rFonts w:eastAsia="標楷體"/>
                <w:color w:val="000000"/>
              </w:rPr>
              <w:t>查察廠商是否自行履行工程、勞務契約之全部或主要部分，不得有轉包情形（廠商履行財物契約，其需經一定履約過程，非以現成財物供應者，準用之）；如有，應解除或終止契約、沒收履約保證金、通知刊登政府採購公報拒絕往來，並得要求損害賠償。</w:t>
            </w:r>
          </w:p>
          <w:p>
            <w:pPr>
              <w:pStyle w:val="Normal"/>
              <w:numPr>
                <w:ilvl w:val="0"/>
                <w:numId w:val="3"/>
              </w:numPr>
              <w:spacing w:lineRule="exact" w:line="360"/>
              <w:jc w:val="both"/>
              <w:rPr>
                <w:rFonts w:eastAsia="標楷體"/>
                <w:b/>
                <w:b/>
                <w:color w:val="000000"/>
                <w:u w:val="single"/>
              </w:rPr>
            </w:pPr>
            <w:r>
              <w:rPr>
                <w:rFonts w:eastAsia="標楷體"/>
                <w:b/>
                <w:color w:val="000000"/>
                <w:u w:val="single"/>
              </w:rPr>
              <w:t>查察可能轉包之情形</w:t>
            </w:r>
          </w:p>
          <w:p>
            <w:pPr>
              <w:pStyle w:val="Normal"/>
              <w:spacing w:lineRule="exact" w:line="360"/>
              <w:ind w:left="0" w:right="0" w:firstLine="480"/>
              <w:jc w:val="both"/>
              <w:rPr>
                <w:rFonts w:eastAsia="標楷體"/>
                <w:color w:val="000000"/>
              </w:rPr>
            </w:pPr>
            <w:r>
              <w:rPr>
                <w:rFonts w:eastAsia="標楷體"/>
                <w:color w:val="000000"/>
              </w:rPr>
              <w:t>為避免廠商轉包或借牌參與採購，機關應加強廠商履約管理，落實執行督導，查察是否有下列可能轉包之情形：</w:t>
            </w:r>
          </w:p>
          <w:p>
            <w:pPr>
              <w:pStyle w:val="Normal"/>
              <w:spacing w:lineRule="exact" w:line="360"/>
              <w:jc w:val="both"/>
              <w:rPr>
                <w:rFonts w:eastAsia="標楷體"/>
                <w:color w:val="000000"/>
              </w:rPr>
            </w:pPr>
            <w:r>
              <w:rPr>
                <w:rFonts w:eastAsia="標楷體"/>
                <w:color w:val="000000"/>
              </w:rPr>
              <w:t>（</w:t>
            </w:r>
            <w:r>
              <w:rPr>
                <w:rFonts w:eastAsia="標楷體"/>
                <w:color w:val="000000"/>
              </w:rPr>
              <w:t>1</w:t>
            </w:r>
            <w:r>
              <w:rPr>
                <w:rFonts w:eastAsia="標楷體"/>
                <w:color w:val="000000"/>
              </w:rPr>
              <w:t>）參與履約人員或決策人員非得標廠商人員。</w:t>
            </w:r>
          </w:p>
          <w:p>
            <w:pPr>
              <w:pStyle w:val="Normal"/>
              <w:spacing w:lineRule="exact" w:line="360"/>
              <w:ind w:left="600" w:right="0" w:hanging="600"/>
              <w:jc w:val="both"/>
              <w:rPr>
                <w:rFonts w:eastAsia="標楷體"/>
                <w:color w:val="000000"/>
              </w:rPr>
            </w:pPr>
            <w:r>
              <w:rPr>
                <w:rFonts w:eastAsia="標楷體"/>
                <w:color w:val="000000"/>
              </w:rPr>
              <w:t>（</w:t>
            </w:r>
            <w:r>
              <w:rPr>
                <w:rFonts w:eastAsia="標楷體"/>
                <w:color w:val="000000"/>
              </w:rPr>
              <w:t>2</w:t>
            </w:r>
            <w:r>
              <w:rPr>
                <w:rFonts w:eastAsia="標楷體"/>
                <w:color w:val="000000"/>
              </w:rPr>
              <w:t>）工地主任、安衛人員、品管人員非得標廠商員工或違反營造業法</w:t>
            </w:r>
            <w:r>
              <w:rPr>
                <w:rFonts w:eastAsia="標楷體"/>
                <w:color w:val="000000"/>
              </w:rPr>
              <w:t>(</w:t>
            </w:r>
            <w:r>
              <w:rPr>
                <w:rFonts w:eastAsia="標楷體"/>
                <w:color w:val="000000"/>
              </w:rPr>
              <w:t>查證勞健保薪資扣繳憑單</w:t>
            </w:r>
            <w:r>
              <w:rPr>
                <w:rFonts w:eastAsia="標楷體"/>
                <w:color w:val="000000"/>
              </w:rPr>
              <w:t>)</w:t>
            </w:r>
            <w:r>
              <w:rPr>
                <w:rFonts w:eastAsia="標楷體"/>
                <w:color w:val="000000"/>
              </w:rPr>
              <w:t>。</w:t>
            </w:r>
          </w:p>
          <w:p>
            <w:pPr>
              <w:pStyle w:val="Normal"/>
              <w:spacing w:lineRule="exact" w:line="360"/>
              <w:jc w:val="both"/>
              <w:rPr>
                <w:rFonts w:eastAsia="標楷體"/>
                <w:color w:val="000000"/>
              </w:rPr>
            </w:pPr>
            <w:r>
              <w:rPr>
                <w:rFonts w:eastAsia="標楷體"/>
                <w:color w:val="000000"/>
              </w:rPr>
              <w:t>（</w:t>
            </w:r>
            <w:r>
              <w:rPr>
                <w:rFonts w:eastAsia="標楷體"/>
                <w:color w:val="000000"/>
              </w:rPr>
              <w:t>3</w:t>
            </w:r>
            <w:r>
              <w:rPr>
                <w:rFonts w:eastAsia="標楷體"/>
                <w:color w:val="000000"/>
              </w:rPr>
              <w:t>）實際施工廠商之聯絡地址、電話非得標廠商之地址、電話。</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65</w:t>
            </w:r>
            <w:r>
              <w:rPr>
                <w:rFonts w:eastAsia="標楷體"/>
                <w:color w:val="000000"/>
              </w:rPr>
              <w:t>條、第</w:t>
            </w:r>
            <w:r>
              <w:rPr>
                <w:rFonts w:eastAsia="標楷體"/>
                <w:color w:val="000000"/>
              </w:rPr>
              <w:t>66</w:t>
            </w:r>
            <w:r>
              <w:rPr>
                <w:rFonts w:eastAsia="標楷體"/>
                <w:color w:val="000000"/>
              </w:rPr>
              <w:t>條、第</w:t>
            </w:r>
            <w:r>
              <w:rPr>
                <w:rFonts w:eastAsia="標楷體"/>
                <w:color w:val="000000"/>
              </w:rPr>
              <w:t>101</w:t>
            </w:r>
            <w:r>
              <w:rPr>
                <w:rFonts w:eastAsia="標楷體"/>
                <w:color w:val="000000"/>
              </w:rPr>
              <w:t>條、採購法施行細則第</w:t>
            </w:r>
            <w:r>
              <w:rPr>
                <w:rFonts w:eastAsia="標楷體"/>
                <w:color w:val="000000"/>
              </w:rPr>
              <w:t>87</w:t>
            </w:r>
            <w:r>
              <w:rPr>
                <w:rFonts w:eastAsia="標楷體"/>
                <w:color w:val="000000"/>
              </w:rPr>
              <w:t>條</w:t>
            </w:r>
          </w:p>
        </w:tc>
      </w:tr>
      <w:tr>
        <w:trPr>
          <w:trHeight w:val="356" w:hRule="atLeast"/>
        </w:trPr>
        <w:tc>
          <w:tcPr>
            <w:tcW w:w="360" w:type="dxa"/>
            <w:tcBorders>
              <w:top w:val="single" w:sz="6" w:space="0" w:color="000000"/>
              <w:left w:val="single" w:sz="12" w:space="0" w:color="000000"/>
              <w:bottom w:val="single" w:sz="12"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三</w:t>
            </w:r>
          </w:p>
        </w:tc>
        <w:tc>
          <w:tcPr>
            <w:tcW w:w="1080" w:type="dxa"/>
            <w:tcBorders>
              <w:top w:val="single" w:sz="6" w:space="0" w:color="000000"/>
              <w:left w:val="single" w:sz="6" w:space="0" w:color="000000"/>
              <w:bottom w:val="single" w:sz="12"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確認竣工、依約驗收及驗收不符之處置</w:t>
            </w:r>
          </w:p>
          <w:p>
            <w:pPr>
              <w:pStyle w:val="Normal"/>
              <w:snapToGrid w:val="false"/>
              <w:spacing w:lineRule="exact" w:line="360"/>
              <w:jc w:val="both"/>
              <w:rPr>
                <w:rFonts w:ascii="標楷體" w:hAnsi="標楷體" w:eastAsia="標楷體" w:cs="標楷體"/>
                <w:color w:val="000000"/>
              </w:rPr>
            </w:pPr>
            <w:r>
              <w:rPr>
                <w:rFonts w:eastAsia="標楷體" w:cs="標楷體" w:ascii="標楷體" w:hAnsi="標楷體"/>
                <w:color w:val="000000"/>
              </w:rPr>
            </w:r>
          </w:p>
          <w:p>
            <w:pPr>
              <w:pStyle w:val="Normal"/>
              <w:spacing w:lineRule="exact" w:line="360"/>
              <w:ind w:left="362" w:right="0" w:hanging="362"/>
              <w:jc w:val="both"/>
              <w:rPr>
                <w:rFonts w:ascii="標楷體" w:hAnsi="標楷體" w:eastAsia="標楷體" w:cs="標楷體"/>
                <w:color w:val="000000"/>
              </w:rPr>
            </w:pPr>
            <w:r>
              <w:rPr>
                <w:rFonts w:eastAsia="標楷體" w:cs="標楷體" w:ascii="標楷體" w:hAnsi="標楷體"/>
                <w:color w:val="000000"/>
              </w:rPr>
            </w:r>
          </w:p>
        </w:tc>
        <w:tc>
          <w:tcPr>
            <w:tcW w:w="5940" w:type="dxa"/>
            <w:tcBorders>
              <w:top w:val="single" w:sz="6" w:space="0" w:color="000000"/>
              <w:left w:val="single" w:sz="6" w:space="0" w:color="000000"/>
              <w:bottom w:val="single" w:sz="12" w:space="0" w:color="000000"/>
              <w:right w:val="single" w:sz="6" w:space="0" w:color="000000"/>
            </w:tcBorders>
            <w:shd w:fill="auto" w:val="clear"/>
          </w:tcPr>
          <w:p>
            <w:pPr>
              <w:pStyle w:val="Normal"/>
              <w:numPr>
                <w:ilvl w:val="0"/>
                <w:numId w:val="2"/>
              </w:numPr>
              <w:spacing w:lineRule="exact" w:line="360"/>
              <w:jc w:val="both"/>
              <w:rPr>
                <w:rFonts w:eastAsia="標楷體"/>
                <w:b/>
                <w:b/>
                <w:color w:val="000000"/>
                <w:u w:val="single"/>
              </w:rPr>
            </w:pPr>
            <w:r>
              <w:rPr>
                <w:rFonts w:eastAsia="標楷體"/>
                <w:b/>
                <w:color w:val="000000"/>
                <w:u w:val="single"/>
              </w:rPr>
              <w:t>落實竣工確定程序</w:t>
            </w:r>
          </w:p>
          <w:p>
            <w:pPr>
              <w:pStyle w:val="Normal"/>
              <w:spacing w:lineRule="exact" w:line="360"/>
              <w:jc w:val="both"/>
              <w:rPr/>
            </w:pPr>
            <w:r>
              <w:rPr>
                <w:rFonts w:eastAsia="Times New Roman"/>
                <w:color w:val="000000"/>
              </w:rPr>
              <w:t xml:space="preserve">   </w:t>
            </w:r>
            <w:r>
              <w:rPr>
                <w:rFonts w:eastAsia="標楷體"/>
                <w:color w:val="000000"/>
              </w:rPr>
              <w:t>廠商通知竣工時，機關應依採購法施行細則第</w:t>
            </w:r>
            <w:r>
              <w:rPr>
                <w:rFonts w:eastAsia="標楷體"/>
                <w:color w:val="000000"/>
              </w:rPr>
              <w:t>92</w:t>
            </w:r>
            <w:r>
              <w:rPr>
                <w:rFonts w:eastAsia="標楷體"/>
                <w:color w:val="000000"/>
              </w:rPr>
              <w:t>條規定，會同監造單位及廠商，確實核對竣工之項目及數量，以確定是否竣工。</w:t>
            </w:r>
          </w:p>
          <w:p>
            <w:pPr>
              <w:pStyle w:val="Normal"/>
              <w:numPr>
                <w:ilvl w:val="0"/>
                <w:numId w:val="2"/>
              </w:numPr>
              <w:spacing w:lineRule="exact" w:line="360"/>
              <w:jc w:val="both"/>
              <w:rPr>
                <w:rFonts w:eastAsia="標楷體"/>
                <w:b/>
                <w:b/>
                <w:color w:val="000000"/>
                <w:u w:val="single"/>
              </w:rPr>
            </w:pPr>
            <w:r>
              <w:rPr>
                <w:rFonts w:eastAsia="標楷體"/>
                <w:b/>
                <w:color w:val="000000"/>
                <w:u w:val="single"/>
              </w:rPr>
              <w:t>依契約辦理驗收，驗收不符應通知廠商限期改善</w:t>
            </w:r>
          </w:p>
          <w:p>
            <w:pPr>
              <w:pStyle w:val="Normal"/>
              <w:spacing w:lineRule="exact" w:line="360"/>
              <w:ind w:left="0" w:right="0" w:firstLine="480"/>
              <w:jc w:val="both"/>
              <w:rPr>
                <w:rFonts w:eastAsia="標楷體"/>
                <w:color w:val="000000"/>
              </w:rPr>
            </w:pPr>
            <w:r>
              <w:rPr>
                <w:rFonts w:eastAsia="標楷體"/>
                <w:color w:val="000000"/>
              </w:rPr>
              <w:t>確定竣工後，機關應依契約約定辦理驗收。如驗收結果與契約、圖說、貨樣規定不符者，應通知廠商限期改善；未於限期內改善完成者，應依契約所訂罰則，課予責任及處罰（例如終止或解除部分或全部契約、沒收履約保證金，通知刊登政府採購公報拒絕往來）。如擬採減價收受，應符合採購法第</w:t>
            </w:r>
            <w:r>
              <w:rPr>
                <w:rFonts w:eastAsia="標楷體"/>
                <w:color w:val="000000"/>
              </w:rPr>
              <w:t>72</w:t>
            </w:r>
            <w:r>
              <w:rPr>
                <w:rFonts w:eastAsia="標楷體"/>
                <w:color w:val="000000"/>
              </w:rPr>
              <w:t>條第</w:t>
            </w:r>
            <w:r>
              <w:rPr>
                <w:rFonts w:eastAsia="標楷體"/>
                <w:color w:val="000000"/>
              </w:rPr>
              <w:t>2</w:t>
            </w:r>
            <w:r>
              <w:rPr>
                <w:rFonts w:eastAsia="標楷體"/>
                <w:color w:val="000000"/>
              </w:rPr>
              <w:t>項規定之要件。</w:t>
            </w:r>
          </w:p>
        </w:tc>
        <w:tc>
          <w:tcPr>
            <w:tcW w:w="2700" w:type="dxa"/>
            <w:tcBorders>
              <w:top w:val="single" w:sz="6" w:space="0" w:color="000000"/>
              <w:left w:val="single" w:sz="6" w:space="0" w:color="000000"/>
              <w:bottom w:val="single" w:sz="12"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71</w:t>
            </w:r>
            <w:r>
              <w:rPr>
                <w:rFonts w:eastAsia="標楷體"/>
                <w:color w:val="000000"/>
              </w:rPr>
              <w:t>條至第</w:t>
            </w:r>
            <w:r>
              <w:rPr>
                <w:rFonts w:eastAsia="標楷體"/>
                <w:color w:val="000000"/>
              </w:rPr>
              <w:t>73</w:t>
            </w:r>
            <w:r>
              <w:rPr>
                <w:rFonts w:eastAsia="標楷體"/>
                <w:color w:val="000000"/>
              </w:rPr>
              <w:t>條、採購法施行細則第</w:t>
            </w:r>
            <w:r>
              <w:rPr>
                <w:rFonts w:eastAsia="標楷體"/>
                <w:color w:val="000000"/>
              </w:rPr>
              <w:t>90</w:t>
            </w:r>
            <w:r>
              <w:rPr>
                <w:rFonts w:eastAsia="標楷體"/>
                <w:color w:val="000000"/>
              </w:rPr>
              <w:t>條至第</w:t>
            </w:r>
            <w:r>
              <w:rPr>
                <w:rFonts w:eastAsia="標楷體"/>
                <w:color w:val="000000"/>
              </w:rPr>
              <w:t>101</w:t>
            </w:r>
            <w:r>
              <w:rPr>
                <w:rFonts w:eastAsia="標楷體"/>
                <w:color w:val="000000"/>
              </w:rPr>
              <w:t>條</w:t>
            </w:r>
          </w:p>
        </w:tc>
      </w:tr>
    </w:tbl>
    <w:p>
      <w:pPr>
        <w:pStyle w:val="Normal"/>
        <w:spacing w:before="180" w:after="0"/>
        <w:jc w:val="both"/>
        <w:rPr/>
      </w:pPr>
      <w:r>
        <w:rPr>
          <w:rFonts w:eastAsia="標楷體"/>
          <w:b/>
          <w:sz w:val="32"/>
          <w:szCs w:val="20"/>
        </w:rPr>
        <w:t>肆</w:t>
      </w:r>
      <w:r>
        <w:rPr>
          <w:rFonts w:ascii="Times New Roman" w:hAnsi="Times New Roman" w:cs="Times New Roman" w:eastAsia="標楷體"/>
          <w:b/>
          <w:color w:val="auto"/>
          <w:kern w:val="2"/>
          <w:sz w:val="32"/>
          <w:szCs w:val="20"/>
          <w:lang w:val="en-US" w:eastAsia="zh-TW" w:bidi="ar-SA"/>
        </w:rPr>
        <w:t>、營運維護階段</w:t>
      </w:r>
    </w:p>
    <w:tbl>
      <w:tblPr>
        <w:tblW w:w="10080" w:type="dxa"/>
        <w:jc w:val="left"/>
        <w:tblInd w:w="-360" w:type="dxa"/>
        <w:tblCellMar>
          <w:top w:w="0" w:type="dxa"/>
          <w:left w:w="28" w:type="dxa"/>
          <w:bottom w:w="0" w:type="dxa"/>
          <w:right w:w="28" w:type="dxa"/>
        </w:tblCellMar>
      </w:tblPr>
      <w:tblGrid>
        <w:gridCol w:w="360"/>
        <w:gridCol w:w="1080"/>
        <w:gridCol w:w="5940"/>
        <w:gridCol w:w="2700"/>
      </w:tblGrid>
      <w:tr>
        <w:trPr>
          <w:tblHeader w:val="true"/>
          <w:trHeight w:val="520" w:hRule="atLeast"/>
        </w:trPr>
        <w:tc>
          <w:tcPr>
            <w:tcW w:w="360" w:type="dxa"/>
            <w:tcBorders>
              <w:top w:val="single" w:sz="12"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b/>
                <w:b/>
                <w:color w:val="000000"/>
              </w:rPr>
            </w:pPr>
            <w:r>
              <w:rPr>
                <w:rFonts w:eastAsia="標楷體"/>
                <w:b/>
                <w:color w:val="000000"/>
              </w:rPr>
              <w:t>項次</w:t>
            </w:r>
          </w:p>
        </w:tc>
        <w:tc>
          <w:tcPr>
            <w:tcW w:w="108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防弊機制</w:t>
            </w:r>
          </w:p>
        </w:tc>
        <w:tc>
          <w:tcPr>
            <w:tcW w:w="594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執行要點</w:t>
            </w:r>
          </w:p>
        </w:tc>
        <w:tc>
          <w:tcPr>
            <w:tcW w:w="2700" w:type="dxa"/>
            <w:tcBorders>
              <w:top w:val="single" w:sz="12" w:space="0" w:color="000000"/>
              <w:left w:val="single" w:sz="6" w:space="0" w:color="000000"/>
              <w:bottom w:val="single" w:sz="6" w:space="0" w:color="000000"/>
              <w:right w:val="single" w:sz="12"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相關法規</w:t>
            </w:r>
          </w:p>
        </w:tc>
      </w:tr>
      <w:tr>
        <w:trPr>
          <w:trHeight w:val="906" w:hRule="atLeast"/>
        </w:trPr>
        <w:tc>
          <w:tcPr>
            <w:tcW w:w="360" w:type="dxa"/>
            <w:tcBorders>
              <w:top w:val="single" w:sz="6" w:space="0" w:color="000000"/>
              <w:left w:val="single" w:sz="12" w:space="0" w:color="000000"/>
              <w:bottom w:val="single" w:sz="12"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一</w:t>
            </w:r>
          </w:p>
        </w:tc>
        <w:tc>
          <w:tcPr>
            <w:tcW w:w="1080" w:type="dxa"/>
            <w:tcBorders>
              <w:top w:val="single" w:sz="6" w:space="0" w:color="000000"/>
              <w:left w:val="single" w:sz="6" w:space="0" w:color="000000"/>
              <w:bottom w:val="single" w:sz="12"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落實保固責任</w:t>
            </w:r>
          </w:p>
        </w:tc>
        <w:tc>
          <w:tcPr>
            <w:tcW w:w="5940" w:type="dxa"/>
            <w:tcBorders>
              <w:top w:val="single" w:sz="6" w:space="0" w:color="000000"/>
              <w:left w:val="single" w:sz="6" w:space="0" w:color="000000"/>
              <w:bottom w:val="single" w:sz="12" w:space="0" w:color="000000"/>
              <w:right w:val="single" w:sz="6" w:space="0" w:color="000000"/>
            </w:tcBorders>
            <w:shd w:fill="auto" w:val="clear"/>
          </w:tcPr>
          <w:p>
            <w:pPr>
              <w:pStyle w:val="Normal"/>
              <w:numPr>
                <w:ilvl w:val="0"/>
                <w:numId w:val="7"/>
              </w:numPr>
              <w:spacing w:lineRule="exact" w:line="360"/>
              <w:jc w:val="both"/>
              <w:rPr>
                <w:rFonts w:eastAsia="標楷體"/>
                <w:b/>
                <w:b/>
                <w:color w:val="000000"/>
                <w:u w:val="single"/>
              </w:rPr>
            </w:pPr>
            <w:r>
              <w:rPr>
                <w:rFonts w:eastAsia="標楷體"/>
                <w:b/>
                <w:color w:val="000000"/>
                <w:u w:val="single"/>
              </w:rPr>
              <w:t>依契約要求廠商履行保固責任</w:t>
            </w:r>
          </w:p>
          <w:p>
            <w:pPr>
              <w:pStyle w:val="Normal"/>
              <w:spacing w:lineRule="exact" w:line="360"/>
              <w:jc w:val="both"/>
              <w:rPr/>
            </w:pPr>
            <w:r>
              <w:rPr>
                <w:rFonts w:eastAsia="Times New Roman"/>
                <w:color w:val="000000"/>
              </w:rPr>
              <w:t xml:space="preserve">   </w:t>
            </w:r>
            <w:r>
              <w:rPr>
                <w:rFonts w:eastAsia="標楷體"/>
                <w:color w:val="000000"/>
              </w:rPr>
              <w:t>保固期內發現之瑕疵，如屬廠商應負保固責任事項，機關應要求廠商限期改正。逾期不為改正者，依約動支保固保證金處理或追償。</w:t>
            </w:r>
          </w:p>
          <w:p>
            <w:pPr>
              <w:pStyle w:val="Normal"/>
              <w:numPr>
                <w:ilvl w:val="0"/>
                <w:numId w:val="7"/>
              </w:numPr>
              <w:spacing w:lineRule="exact" w:line="360"/>
              <w:jc w:val="both"/>
              <w:rPr>
                <w:rFonts w:eastAsia="標楷體"/>
                <w:b/>
                <w:b/>
                <w:color w:val="000000"/>
                <w:u w:val="single"/>
              </w:rPr>
            </w:pPr>
            <w:r>
              <w:rPr>
                <w:rFonts w:eastAsia="標楷體"/>
                <w:b/>
                <w:color w:val="000000"/>
                <w:u w:val="single"/>
              </w:rPr>
              <w:t>注意保固保證金之發還條件</w:t>
            </w:r>
          </w:p>
          <w:p>
            <w:pPr>
              <w:pStyle w:val="Normal"/>
              <w:spacing w:lineRule="exact" w:line="360"/>
              <w:jc w:val="both"/>
              <w:rPr/>
            </w:pPr>
            <w:r>
              <w:rPr>
                <w:rFonts w:eastAsia="Times New Roman"/>
                <w:color w:val="000000"/>
              </w:rPr>
              <w:t xml:space="preserve">   </w:t>
            </w:r>
            <w:r>
              <w:rPr>
                <w:rFonts w:eastAsia="標楷體"/>
                <w:color w:val="000000"/>
              </w:rPr>
              <w:t>保固期滿，機關應確認無履約瑕疵問題及待解決事項，始得退還保固保證金。</w:t>
            </w:r>
          </w:p>
        </w:tc>
        <w:tc>
          <w:tcPr>
            <w:tcW w:w="2700" w:type="dxa"/>
            <w:tcBorders>
              <w:top w:val="single" w:sz="6" w:space="0" w:color="000000"/>
              <w:left w:val="single" w:sz="6" w:space="0" w:color="000000"/>
              <w:bottom w:val="single" w:sz="12"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押標金保證金暨其他擔保作業辦法第</w:t>
            </w:r>
            <w:r>
              <w:rPr>
                <w:rFonts w:eastAsia="標楷體"/>
                <w:color w:val="000000"/>
              </w:rPr>
              <w:t>24</w:t>
            </w:r>
            <w:r>
              <w:rPr>
                <w:rFonts w:eastAsia="標楷體"/>
                <w:color w:val="000000"/>
              </w:rPr>
              <w:t>條至第</w:t>
            </w:r>
            <w:r>
              <w:rPr>
                <w:rFonts w:eastAsia="標楷體"/>
                <w:color w:val="000000"/>
              </w:rPr>
              <w:t>28</w:t>
            </w:r>
            <w:r>
              <w:rPr>
                <w:rFonts w:eastAsia="標楷體"/>
                <w:color w:val="000000"/>
              </w:rPr>
              <w:t>條</w:t>
            </w:r>
          </w:p>
        </w:tc>
      </w:tr>
    </w:tbl>
    <w:p>
      <w:pPr>
        <w:pStyle w:val="Normal"/>
        <w:spacing w:before="180" w:after="0"/>
        <w:jc w:val="both"/>
        <w:rPr>
          <w:rFonts w:eastAsia="標楷體"/>
          <w:b/>
          <w:b/>
          <w:sz w:val="32"/>
          <w:szCs w:val="20"/>
        </w:rPr>
      </w:pPr>
      <w:r>
        <w:rPr>
          <w:rFonts w:eastAsia="標楷體"/>
          <w:b/>
          <w:sz w:val="32"/>
          <w:szCs w:val="20"/>
        </w:rPr>
      </w:r>
    </w:p>
    <w:p>
      <w:pPr>
        <w:pStyle w:val="Normal"/>
        <w:spacing w:before="180" w:after="0"/>
        <w:jc w:val="both"/>
        <w:rPr>
          <w:rFonts w:eastAsia="標楷體"/>
          <w:b/>
          <w:b/>
          <w:sz w:val="32"/>
          <w:szCs w:val="20"/>
        </w:rPr>
      </w:pPr>
      <w:r>
        <w:rPr>
          <w:rFonts w:eastAsia="標楷體"/>
          <w:b/>
          <w:sz w:val="32"/>
          <w:szCs w:val="20"/>
        </w:rPr>
        <w:t>伍、其他</w:t>
      </w:r>
    </w:p>
    <w:tbl>
      <w:tblPr>
        <w:tblW w:w="10080" w:type="dxa"/>
        <w:jc w:val="left"/>
        <w:tblInd w:w="-360" w:type="dxa"/>
        <w:tblCellMar>
          <w:top w:w="0" w:type="dxa"/>
          <w:left w:w="28" w:type="dxa"/>
          <w:bottom w:w="0" w:type="dxa"/>
          <w:right w:w="28" w:type="dxa"/>
        </w:tblCellMar>
      </w:tblPr>
      <w:tblGrid>
        <w:gridCol w:w="360"/>
        <w:gridCol w:w="1080"/>
        <w:gridCol w:w="5940"/>
        <w:gridCol w:w="2700"/>
      </w:tblGrid>
      <w:tr>
        <w:trPr>
          <w:tblHeader w:val="true"/>
          <w:trHeight w:val="520" w:hRule="atLeast"/>
        </w:trPr>
        <w:tc>
          <w:tcPr>
            <w:tcW w:w="360" w:type="dxa"/>
            <w:tcBorders>
              <w:top w:val="single" w:sz="12"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b/>
                <w:b/>
                <w:color w:val="000000"/>
              </w:rPr>
            </w:pPr>
            <w:r>
              <w:rPr>
                <w:rFonts w:eastAsia="標楷體"/>
                <w:b/>
                <w:color w:val="000000"/>
              </w:rPr>
              <w:t>項次</w:t>
            </w:r>
          </w:p>
        </w:tc>
        <w:tc>
          <w:tcPr>
            <w:tcW w:w="108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防弊機制</w:t>
            </w:r>
          </w:p>
        </w:tc>
        <w:tc>
          <w:tcPr>
            <w:tcW w:w="5940" w:type="dxa"/>
            <w:tcBorders>
              <w:top w:val="single" w:sz="12" w:space="0" w:color="000000"/>
              <w:left w:val="single" w:sz="6" w:space="0" w:color="000000"/>
              <w:bottom w:val="single" w:sz="6" w:space="0" w:color="000000"/>
              <w:right w:val="single" w:sz="6"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執行要點</w:t>
            </w:r>
          </w:p>
        </w:tc>
        <w:tc>
          <w:tcPr>
            <w:tcW w:w="2700" w:type="dxa"/>
            <w:tcBorders>
              <w:top w:val="single" w:sz="12" w:space="0" w:color="000000"/>
              <w:left w:val="single" w:sz="6" w:space="0" w:color="000000"/>
              <w:bottom w:val="single" w:sz="6" w:space="0" w:color="000000"/>
              <w:right w:val="single" w:sz="12" w:space="0" w:color="000000"/>
            </w:tcBorders>
            <w:shd w:fill="auto" w:val="clear"/>
            <w:vAlign w:val="center"/>
          </w:tcPr>
          <w:p>
            <w:pPr>
              <w:pStyle w:val="Normal"/>
              <w:spacing w:lineRule="exact" w:line="360"/>
              <w:jc w:val="center"/>
              <w:rPr>
                <w:rFonts w:eastAsia="標楷體"/>
                <w:b/>
                <w:b/>
                <w:color w:val="000000"/>
              </w:rPr>
            </w:pPr>
            <w:r>
              <w:rPr>
                <w:rFonts w:eastAsia="標楷體"/>
                <w:b/>
                <w:color w:val="000000"/>
              </w:rPr>
              <w:t>相關法規</w:t>
            </w:r>
          </w:p>
        </w:tc>
      </w:tr>
      <w:tr>
        <w:trPr>
          <w:trHeight w:val="906"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一</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注意利益迴避</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jc w:val="both"/>
              <w:rPr>
                <w:rFonts w:eastAsia="標楷體"/>
                <w:b/>
                <w:b/>
                <w:color w:val="000000"/>
                <w:u w:val="single"/>
              </w:rPr>
            </w:pPr>
            <w:r>
              <w:rPr>
                <w:rFonts w:eastAsia="標楷體"/>
                <w:b/>
                <w:color w:val="000000"/>
                <w:u w:val="single"/>
              </w:rPr>
              <w:t>採購人員落實利益迴避</w:t>
            </w:r>
          </w:p>
          <w:p>
            <w:pPr>
              <w:pStyle w:val="Normal"/>
              <w:spacing w:lineRule="exact" w:line="360"/>
              <w:jc w:val="both"/>
              <w:rPr/>
            </w:pPr>
            <w:r>
              <w:rPr>
                <w:rFonts w:eastAsia="Times New Roman"/>
                <w:color w:val="000000"/>
              </w:rPr>
              <w:t xml:space="preserve">   </w:t>
            </w:r>
            <w:r>
              <w:rPr>
                <w:rFonts w:eastAsia="標楷體"/>
                <w:color w:val="000000"/>
              </w:rPr>
              <w:t>機關人員對於與採購有關之事項，涉及本人、配偶、二親等以內親屬，或共同生活家屬之利益時，依採購法第</w:t>
            </w:r>
            <w:r>
              <w:rPr>
                <w:rFonts w:eastAsia="標楷體"/>
                <w:color w:val="000000"/>
              </w:rPr>
              <w:t>15</w:t>
            </w:r>
            <w:r>
              <w:rPr>
                <w:rFonts w:eastAsia="標楷體"/>
                <w:color w:val="000000"/>
              </w:rPr>
              <w:t>條第</w:t>
            </w:r>
            <w:r>
              <w:rPr>
                <w:rFonts w:eastAsia="標楷體"/>
                <w:color w:val="000000"/>
              </w:rPr>
              <w:t>2</w:t>
            </w:r>
            <w:r>
              <w:rPr>
                <w:rFonts w:eastAsia="標楷體"/>
                <w:color w:val="000000"/>
              </w:rPr>
              <w:t>項規定，應行迴避。</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15</w:t>
            </w:r>
            <w:r>
              <w:rPr>
                <w:rFonts w:eastAsia="標楷體"/>
                <w:color w:val="000000"/>
              </w:rPr>
              <w:t>條</w:t>
            </w:r>
          </w:p>
        </w:tc>
      </w:tr>
      <w:tr>
        <w:trPr>
          <w:trHeight w:val="906"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二</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落實監辦採購程序</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numPr>
                <w:ilvl w:val="0"/>
                <w:numId w:val="4"/>
              </w:numPr>
              <w:spacing w:lineRule="exact" w:line="360"/>
              <w:jc w:val="both"/>
              <w:rPr>
                <w:rFonts w:eastAsia="標楷體"/>
                <w:b/>
                <w:b/>
                <w:color w:val="000000"/>
                <w:u w:val="single"/>
              </w:rPr>
            </w:pPr>
            <w:r>
              <w:rPr>
                <w:rFonts w:eastAsia="標楷體"/>
                <w:b/>
                <w:color w:val="000000"/>
                <w:u w:val="single"/>
              </w:rPr>
              <w:t>依規定通知監辦</w:t>
            </w:r>
          </w:p>
          <w:p>
            <w:pPr>
              <w:pStyle w:val="Normal"/>
              <w:numPr>
                <w:ilvl w:val="0"/>
                <w:numId w:val="5"/>
              </w:numPr>
              <w:spacing w:lineRule="exact" w:line="360"/>
              <w:jc w:val="both"/>
              <w:rPr>
                <w:rFonts w:eastAsia="標楷體"/>
                <w:color w:val="000000"/>
              </w:rPr>
            </w:pPr>
            <w:r>
              <w:rPr>
                <w:rFonts w:eastAsia="標楷體"/>
                <w:color w:val="000000"/>
              </w:rPr>
              <w:t>機關辦理採購之開標、比價、議價、決標及驗收，應通知主</w:t>
            </w:r>
            <w:r>
              <w:rPr>
                <w:rFonts w:eastAsia="標楷體"/>
                <w:color w:val="000000"/>
              </w:rPr>
              <w:t>(</w:t>
            </w:r>
            <w:r>
              <w:rPr>
                <w:rFonts w:eastAsia="標楷體"/>
                <w:color w:val="000000"/>
              </w:rPr>
              <w:t>會</w:t>
            </w:r>
            <w:r>
              <w:rPr>
                <w:rFonts w:eastAsia="標楷體"/>
                <w:color w:val="000000"/>
              </w:rPr>
              <w:t>)</w:t>
            </w:r>
            <w:r>
              <w:rPr>
                <w:rFonts w:eastAsia="標楷體"/>
                <w:color w:val="000000"/>
              </w:rPr>
              <w:t>計及有關單位會同監辦；公告金額以上採購，除有機關主會計及有關單位會同監辦採購辦法第</w:t>
            </w:r>
            <w:r>
              <w:rPr>
                <w:rFonts w:eastAsia="標楷體"/>
                <w:color w:val="000000"/>
              </w:rPr>
              <w:t>5</w:t>
            </w:r>
            <w:r>
              <w:rPr>
                <w:rFonts w:eastAsia="標楷體"/>
                <w:color w:val="000000"/>
              </w:rPr>
              <w:t>條各款情形之一，且無第</w:t>
            </w:r>
            <w:r>
              <w:rPr>
                <w:rFonts w:eastAsia="標楷體"/>
                <w:color w:val="000000"/>
              </w:rPr>
              <w:t>6</w:t>
            </w:r>
            <w:r>
              <w:rPr>
                <w:rFonts w:eastAsia="標楷體"/>
                <w:color w:val="000000"/>
              </w:rPr>
              <w:t>條第</w:t>
            </w:r>
            <w:r>
              <w:rPr>
                <w:rFonts w:eastAsia="標楷體"/>
                <w:color w:val="000000"/>
              </w:rPr>
              <w:t>1</w:t>
            </w:r>
            <w:r>
              <w:rPr>
                <w:rFonts w:eastAsia="標楷體"/>
                <w:color w:val="000000"/>
              </w:rPr>
              <w:t>項各款情形之一者外，應由主會計及有關單位會同監辦；未達公告金額採購，中央機關除有中央機關未達公告金額採購監辦辦法第</w:t>
            </w:r>
            <w:r>
              <w:rPr>
                <w:rFonts w:eastAsia="標楷體"/>
                <w:color w:val="000000"/>
              </w:rPr>
              <w:t>3</w:t>
            </w:r>
            <w:r>
              <w:rPr>
                <w:rFonts w:eastAsia="標楷體"/>
                <w:color w:val="000000"/>
              </w:rPr>
              <w:t>條各款情形之一，且無第</w:t>
            </w:r>
            <w:r>
              <w:rPr>
                <w:rFonts w:eastAsia="標楷體"/>
                <w:color w:val="000000"/>
              </w:rPr>
              <w:t>4</w:t>
            </w:r>
            <w:r>
              <w:rPr>
                <w:rFonts w:eastAsia="標楷體"/>
                <w:color w:val="000000"/>
              </w:rPr>
              <w:t>條第</w:t>
            </w:r>
            <w:r>
              <w:rPr>
                <w:rFonts w:eastAsia="標楷體"/>
                <w:color w:val="000000"/>
              </w:rPr>
              <w:t>1</w:t>
            </w:r>
            <w:r>
              <w:rPr>
                <w:rFonts w:eastAsia="標楷體"/>
                <w:color w:val="000000"/>
              </w:rPr>
              <w:t>項各款情形之一者外，應由主會計或有關單位會同監辦（地方政府從其自訂之未達公告金額監辦規定）。</w:t>
            </w:r>
          </w:p>
          <w:p>
            <w:pPr>
              <w:pStyle w:val="Normal"/>
              <w:numPr>
                <w:ilvl w:val="0"/>
                <w:numId w:val="5"/>
              </w:numPr>
              <w:spacing w:lineRule="exact" w:line="360"/>
              <w:jc w:val="both"/>
              <w:rPr>
                <w:rFonts w:eastAsia="標楷體"/>
                <w:color w:val="000000"/>
              </w:rPr>
            </w:pPr>
            <w:r>
              <w:rPr>
                <w:rFonts w:eastAsia="標楷體"/>
                <w:color w:val="000000"/>
              </w:rPr>
              <w:t>機關辦理查核金額以上採購之開標、比價、議價、決標及驗收時，應報請上級機關派員監辦；上級機關得視事實需要訂定授權條件，由機關自行辦理。</w:t>
            </w:r>
          </w:p>
          <w:p>
            <w:pPr>
              <w:pStyle w:val="Normal"/>
              <w:numPr>
                <w:ilvl w:val="0"/>
                <w:numId w:val="4"/>
              </w:numPr>
              <w:spacing w:lineRule="exact" w:line="360"/>
              <w:jc w:val="both"/>
              <w:rPr>
                <w:rFonts w:eastAsia="標楷體"/>
                <w:b/>
                <w:b/>
                <w:color w:val="000000"/>
                <w:u w:val="single"/>
              </w:rPr>
            </w:pPr>
            <w:r>
              <w:rPr>
                <w:rFonts w:eastAsia="標楷體"/>
                <w:b/>
                <w:color w:val="000000"/>
                <w:u w:val="single"/>
              </w:rPr>
              <w:t>依法監辦採購程序有無違反法令</w:t>
            </w:r>
          </w:p>
          <w:p>
            <w:pPr>
              <w:pStyle w:val="Normal"/>
              <w:spacing w:lineRule="exact" w:line="360"/>
              <w:jc w:val="both"/>
              <w:rPr/>
            </w:pPr>
            <w:r>
              <w:rPr>
                <w:rFonts w:eastAsia="Times New Roman"/>
                <w:color w:val="000000"/>
              </w:rPr>
              <w:t xml:space="preserve">   </w:t>
            </w:r>
            <w:r>
              <w:rPr>
                <w:rFonts w:eastAsia="標楷體"/>
                <w:color w:val="000000"/>
              </w:rPr>
              <w:t>主</w:t>
            </w:r>
            <w:r>
              <w:rPr>
                <w:rFonts w:eastAsia="標楷體"/>
                <w:color w:val="000000"/>
              </w:rPr>
              <w:t>(</w:t>
            </w:r>
            <w:r>
              <w:rPr>
                <w:rFonts w:eastAsia="標楷體"/>
                <w:color w:val="000000"/>
              </w:rPr>
              <w:t>會</w:t>
            </w:r>
            <w:r>
              <w:rPr>
                <w:rFonts w:eastAsia="標楷體"/>
                <w:color w:val="000000"/>
              </w:rPr>
              <w:t>)</w:t>
            </w:r>
            <w:r>
              <w:rPr>
                <w:rFonts w:eastAsia="標楷體"/>
                <w:color w:val="000000"/>
              </w:rPr>
              <w:t>計、有關單位及上級機關實地監視或書面審核機關辦理開標、比價、議價、決標及驗收是否符合採購法規定之程序。針對廠商資格、規格、底價訂定、決標條件及驗收方法等實質或技術事項審查，監辦人員發現有違反法令情形者，仍得提出意見，並納入紀錄。</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12</w:t>
            </w:r>
            <w:r>
              <w:rPr>
                <w:rFonts w:eastAsia="標楷體"/>
                <w:color w:val="000000"/>
              </w:rPr>
              <w:t>條、第</w:t>
            </w:r>
            <w:r>
              <w:rPr>
                <w:rFonts w:eastAsia="標楷體"/>
                <w:color w:val="000000"/>
              </w:rPr>
              <w:t>13</w:t>
            </w:r>
            <w:r>
              <w:rPr>
                <w:rFonts w:eastAsia="標楷體"/>
                <w:color w:val="000000"/>
              </w:rPr>
              <w:t>條、機關主會計及有關單位會同監辦採購辦法、中央機關未達公告金額採購監辦辦法</w:t>
            </w:r>
          </w:p>
        </w:tc>
      </w:tr>
      <w:tr>
        <w:trPr>
          <w:trHeight w:val="906"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三</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注意請託關說</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exact" w:line="360"/>
              <w:jc w:val="both"/>
              <w:rPr>
                <w:rFonts w:eastAsia="標楷體"/>
                <w:b/>
                <w:b/>
                <w:color w:val="000000"/>
                <w:u w:val="single"/>
              </w:rPr>
            </w:pPr>
            <w:r>
              <w:rPr>
                <w:rFonts w:eastAsia="標楷體"/>
                <w:b/>
                <w:color w:val="000000"/>
                <w:u w:val="single"/>
              </w:rPr>
              <w:t>遇有請託關說宜作成紀錄</w:t>
            </w:r>
          </w:p>
          <w:p>
            <w:pPr>
              <w:pStyle w:val="Normal"/>
              <w:spacing w:lineRule="exact" w:line="360"/>
              <w:jc w:val="both"/>
              <w:rPr/>
            </w:pPr>
            <w:r>
              <w:rPr>
                <w:rFonts w:eastAsia="Times New Roman"/>
                <w:color w:val="000000"/>
              </w:rPr>
              <w:t xml:space="preserve">   </w:t>
            </w:r>
            <w:r>
              <w:rPr>
                <w:rFonts w:eastAsia="標楷體"/>
                <w:color w:val="000000"/>
              </w:rPr>
              <w:t>機關人員遇有請託關說，宜以書面為之或作成紀錄，不得作為評選之參考，並以書面或口頭方式向法務部廉政署或政風單位通報。</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採購法第</w:t>
            </w:r>
            <w:r>
              <w:rPr>
                <w:rFonts w:eastAsia="標楷體"/>
                <w:color w:val="000000"/>
              </w:rPr>
              <w:t>16</w:t>
            </w:r>
            <w:r>
              <w:rPr>
                <w:rFonts w:eastAsia="標楷體"/>
                <w:color w:val="000000"/>
              </w:rPr>
              <w:t>條、採購法施行細則第</w:t>
            </w:r>
            <w:r>
              <w:rPr>
                <w:rFonts w:eastAsia="標楷體"/>
                <w:color w:val="000000"/>
              </w:rPr>
              <w:t>16</w:t>
            </w:r>
            <w:r>
              <w:rPr>
                <w:rFonts w:eastAsia="標楷體"/>
                <w:color w:val="000000"/>
              </w:rPr>
              <w:t>條、本會</w:t>
            </w:r>
            <w:r>
              <w:rPr>
                <w:rFonts w:eastAsia="標楷體"/>
                <w:color w:val="000000"/>
              </w:rPr>
              <w:t>108</w:t>
            </w:r>
            <w:r>
              <w:rPr>
                <w:rFonts w:eastAsia="標楷體"/>
                <w:color w:val="000000"/>
              </w:rPr>
              <w:t>年</w:t>
            </w:r>
            <w:r>
              <w:rPr>
                <w:rFonts w:eastAsia="標楷體"/>
                <w:color w:val="000000"/>
              </w:rPr>
              <w:t>4</w:t>
            </w:r>
            <w:r>
              <w:rPr>
                <w:rFonts w:eastAsia="標楷體"/>
                <w:color w:val="000000"/>
              </w:rPr>
              <w:t>月</w:t>
            </w:r>
            <w:r>
              <w:rPr>
                <w:rFonts w:eastAsia="標楷體"/>
                <w:color w:val="000000"/>
              </w:rPr>
              <w:t>23</w:t>
            </w:r>
            <w:r>
              <w:rPr>
                <w:rFonts w:eastAsia="標楷體"/>
                <w:color w:val="000000"/>
              </w:rPr>
              <w:t>日工程企字第</w:t>
            </w:r>
            <w:r>
              <w:rPr>
                <w:rFonts w:eastAsia="標楷體"/>
                <w:color w:val="000000"/>
              </w:rPr>
              <w:t>1080100322</w:t>
            </w:r>
            <w:r>
              <w:rPr>
                <w:rFonts w:eastAsia="標楷體"/>
                <w:color w:val="000000"/>
              </w:rPr>
              <w:t>號函</w:t>
            </w:r>
          </w:p>
        </w:tc>
      </w:tr>
      <w:tr>
        <w:trPr>
          <w:trHeight w:val="906" w:hRule="atLeast"/>
        </w:trPr>
        <w:tc>
          <w:tcPr>
            <w:tcW w:w="360" w:type="dxa"/>
            <w:tcBorders>
              <w:top w:val="single" w:sz="6" w:space="0" w:color="000000"/>
              <w:left w:val="single" w:sz="12" w:space="0" w:color="000000"/>
              <w:bottom w:val="single" w:sz="6"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四</w:t>
            </w:r>
          </w:p>
        </w:tc>
        <w:tc>
          <w:tcPr>
            <w:tcW w:w="1080"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利用資訊系統警示機制</w:t>
            </w:r>
          </w:p>
        </w:tc>
        <w:tc>
          <w:tcPr>
            <w:tcW w:w="594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32" w:leader="none"/>
              </w:tabs>
              <w:spacing w:lineRule="exact" w:line="360"/>
              <w:jc w:val="both"/>
              <w:rPr>
                <w:rFonts w:eastAsia="標楷體"/>
                <w:b/>
                <w:b/>
                <w:color w:val="000000"/>
                <w:u w:val="single"/>
              </w:rPr>
            </w:pPr>
            <w:r>
              <w:rPr>
                <w:rFonts w:eastAsia="標楷體"/>
                <w:b/>
                <w:color w:val="000000"/>
                <w:u w:val="single"/>
              </w:rPr>
              <w:t>利用採購網警示專區查察可能異常狀況</w:t>
            </w:r>
          </w:p>
          <w:p>
            <w:pPr>
              <w:pStyle w:val="Normal"/>
              <w:spacing w:lineRule="exact" w:line="360"/>
              <w:jc w:val="both"/>
              <w:rPr/>
            </w:pPr>
            <w:r>
              <w:rPr>
                <w:rFonts w:eastAsia="Times New Roman"/>
                <w:color w:val="000000"/>
              </w:rPr>
              <w:t xml:space="preserve">   </w:t>
            </w:r>
            <w:r>
              <w:rPr>
                <w:rFonts w:eastAsia="標楷體"/>
                <w:color w:val="000000"/>
              </w:rPr>
              <w:t>本會政府電子採購網系統已建置異常警示專區，對於異常情形向機關警示，及提供稽核小組、廉政署，防範弊端發生。其警示項目包括：工程或勞務採購得標件數較多且於同一機關得標件數較多清單、工程或勞務採購於同一機關得標件數較多廠商名單、同一機關遴聘同一外聘委員次數較多、</w:t>
            </w:r>
            <w:r>
              <w:rPr>
                <w:rFonts w:eastAsia="標楷體"/>
                <w:color w:val="000000"/>
              </w:rPr>
              <w:t>3</w:t>
            </w:r>
            <w:r>
              <w:rPr>
                <w:rFonts w:eastAsia="標楷體"/>
                <w:color w:val="000000"/>
              </w:rPr>
              <w:t>家以上廠商投標開標後僅</w:t>
            </w:r>
            <w:r>
              <w:rPr>
                <w:rFonts w:eastAsia="標楷體"/>
                <w:color w:val="000000"/>
              </w:rPr>
              <w:t>1</w:t>
            </w:r>
            <w:r>
              <w:rPr>
                <w:rFonts w:eastAsia="標楷體"/>
                <w:color w:val="000000"/>
              </w:rPr>
              <w:t>家廠商符合招標文件規定等。各機關辦理採購，可隨時查察上開警示資訊，避免發生影響採購公正之違反法令行為。</w:t>
            </w:r>
          </w:p>
        </w:tc>
        <w:tc>
          <w:tcPr>
            <w:tcW w:w="2700" w:type="dxa"/>
            <w:tcBorders>
              <w:top w:val="single" w:sz="6" w:space="0" w:color="000000"/>
              <w:left w:val="single" w:sz="6" w:space="0" w:color="000000"/>
              <w:bottom w:val="single" w:sz="6"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本會</w:t>
            </w:r>
            <w:r>
              <w:rPr>
                <w:rFonts w:eastAsia="標楷體"/>
                <w:color w:val="000000"/>
              </w:rPr>
              <w:t>102</w:t>
            </w:r>
            <w:r>
              <w:rPr>
                <w:rFonts w:eastAsia="標楷體"/>
                <w:color w:val="000000"/>
              </w:rPr>
              <w:t>年</w:t>
            </w:r>
            <w:r>
              <w:rPr>
                <w:rFonts w:eastAsia="標楷體"/>
                <w:color w:val="000000"/>
              </w:rPr>
              <w:t>8</w:t>
            </w:r>
            <w:r>
              <w:rPr>
                <w:rFonts w:eastAsia="標楷體"/>
                <w:color w:val="000000"/>
              </w:rPr>
              <w:t>月</w:t>
            </w:r>
            <w:r>
              <w:rPr>
                <w:rFonts w:eastAsia="標楷體"/>
                <w:color w:val="000000"/>
              </w:rPr>
              <w:t>14</w:t>
            </w:r>
            <w:r>
              <w:rPr>
                <w:rFonts w:eastAsia="標楷體"/>
                <w:color w:val="000000"/>
              </w:rPr>
              <w:t>日工程企字第</w:t>
            </w:r>
            <w:r>
              <w:rPr>
                <w:rFonts w:eastAsia="標楷體"/>
                <w:color w:val="000000"/>
              </w:rPr>
              <w:t>10200292230</w:t>
            </w:r>
            <w:r>
              <w:rPr>
                <w:rFonts w:eastAsia="標楷體"/>
                <w:color w:val="000000"/>
              </w:rPr>
              <w:t>號函、</w:t>
            </w:r>
            <w:r>
              <w:rPr>
                <w:rFonts w:eastAsia="標楷體"/>
                <w:color w:val="000000"/>
              </w:rPr>
              <w:t>111</w:t>
            </w:r>
            <w:r>
              <w:rPr>
                <w:rFonts w:eastAsia="標楷體"/>
                <w:color w:val="000000"/>
              </w:rPr>
              <w:t>年</w:t>
            </w:r>
            <w:r>
              <w:rPr>
                <w:rFonts w:eastAsia="標楷體"/>
                <w:color w:val="000000"/>
              </w:rPr>
              <w:t>7</w:t>
            </w:r>
            <w:r>
              <w:rPr>
                <w:rFonts w:eastAsia="標楷體"/>
                <w:color w:val="000000"/>
              </w:rPr>
              <w:t>月</w:t>
            </w:r>
            <w:r>
              <w:rPr>
                <w:rFonts w:eastAsia="標楷體"/>
                <w:color w:val="000000"/>
              </w:rPr>
              <w:t>28</w:t>
            </w:r>
            <w:r>
              <w:rPr>
                <w:rFonts w:eastAsia="標楷體"/>
                <w:color w:val="000000"/>
              </w:rPr>
              <w:t>日工程企字第</w:t>
            </w:r>
            <w:r>
              <w:rPr>
                <w:rFonts w:eastAsia="標楷體"/>
                <w:color w:val="000000"/>
              </w:rPr>
              <w:t>1110100497</w:t>
            </w:r>
            <w:r>
              <w:rPr>
                <w:rFonts w:eastAsia="標楷體"/>
                <w:color w:val="000000"/>
              </w:rPr>
              <w:t>號函</w:t>
            </w:r>
          </w:p>
        </w:tc>
      </w:tr>
      <w:tr>
        <w:trPr>
          <w:trHeight w:val="906" w:hRule="atLeast"/>
        </w:trPr>
        <w:tc>
          <w:tcPr>
            <w:tcW w:w="360" w:type="dxa"/>
            <w:tcBorders>
              <w:top w:val="single" w:sz="6" w:space="0" w:color="000000"/>
              <w:left w:val="single" w:sz="12" w:space="0" w:color="000000"/>
              <w:bottom w:val="single" w:sz="12" w:space="0" w:color="000000"/>
              <w:right w:val="single" w:sz="6" w:space="0" w:color="000000"/>
            </w:tcBorders>
            <w:shd w:fill="auto" w:val="clear"/>
          </w:tcPr>
          <w:p>
            <w:pPr>
              <w:pStyle w:val="Normal"/>
              <w:spacing w:lineRule="exact" w:line="360"/>
              <w:jc w:val="center"/>
              <w:rPr>
                <w:rFonts w:eastAsia="標楷體"/>
                <w:color w:val="000000"/>
                <w:szCs w:val="20"/>
              </w:rPr>
            </w:pPr>
            <w:r>
              <w:rPr>
                <w:rFonts w:eastAsia="標楷體"/>
                <w:color w:val="000000"/>
                <w:szCs w:val="20"/>
              </w:rPr>
              <w:t>五</w:t>
            </w:r>
          </w:p>
        </w:tc>
        <w:tc>
          <w:tcPr>
            <w:tcW w:w="1080" w:type="dxa"/>
            <w:tcBorders>
              <w:top w:val="single" w:sz="6" w:space="0" w:color="000000"/>
              <w:left w:val="single" w:sz="6" w:space="0" w:color="000000"/>
              <w:bottom w:val="single" w:sz="12" w:space="0" w:color="000000"/>
              <w:right w:val="single" w:sz="6" w:space="0" w:color="000000"/>
            </w:tcBorders>
            <w:shd w:fill="auto" w:val="clear"/>
          </w:tcPr>
          <w:p>
            <w:pPr>
              <w:pStyle w:val="Normal"/>
              <w:snapToGrid w:val="false"/>
              <w:spacing w:lineRule="exact" w:line="360"/>
              <w:jc w:val="both"/>
              <w:rPr>
                <w:rFonts w:ascii="標楷體" w:hAnsi="標楷體" w:eastAsia="標楷體" w:cs="標楷體"/>
                <w:color w:val="000000"/>
              </w:rPr>
            </w:pPr>
            <w:r>
              <w:rPr>
                <w:rFonts w:ascii="標楷體" w:hAnsi="標楷體" w:cs="標楷體" w:eastAsia="標楷體"/>
                <w:color w:val="000000"/>
              </w:rPr>
              <w:t>成立機關採購廉潔平臺</w:t>
            </w:r>
          </w:p>
        </w:tc>
        <w:tc>
          <w:tcPr>
            <w:tcW w:w="5940" w:type="dxa"/>
            <w:tcBorders>
              <w:top w:val="single" w:sz="6" w:space="0" w:color="000000"/>
              <w:left w:val="single" w:sz="6" w:space="0" w:color="000000"/>
              <w:bottom w:val="single" w:sz="12" w:space="0" w:color="000000"/>
              <w:right w:val="single" w:sz="6" w:space="0" w:color="000000"/>
            </w:tcBorders>
            <w:shd w:fill="auto" w:val="clear"/>
          </w:tcPr>
          <w:p>
            <w:pPr>
              <w:pStyle w:val="Normal"/>
              <w:tabs>
                <w:tab w:val="clear" w:pos="480"/>
                <w:tab w:val="left" w:pos="332" w:leader="none"/>
              </w:tabs>
              <w:spacing w:lineRule="exact" w:line="360"/>
              <w:jc w:val="both"/>
              <w:rPr>
                <w:rFonts w:eastAsia="標楷體"/>
                <w:b/>
                <w:b/>
                <w:color w:val="000000"/>
                <w:u w:val="single"/>
              </w:rPr>
            </w:pPr>
            <w:r>
              <w:rPr>
                <w:rFonts w:eastAsia="標楷體"/>
                <w:b/>
                <w:color w:val="000000"/>
                <w:u w:val="single"/>
              </w:rPr>
              <w:t>重大採購評估成立廉政平臺</w:t>
            </w:r>
          </w:p>
          <w:p>
            <w:pPr>
              <w:pStyle w:val="Normal"/>
              <w:spacing w:lineRule="exact" w:line="360"/>
              <w:jc w:val="both"/>
              <w:rPr/>
            </w:pPr>
            <w:r>
              <w:rPr>
                <w:rFonts w:eastAsia="Times New Roman"/>
                <w:color w:val="000000"/>
              </w:rPr>
              <w:t xml:space="preserve">   </w:t>
            </w:r>
            <w:r>
              <w:rPr>
                <w:rFonts w:eastAsia="標楷體"/>
                <w:color w:val="000000"/>
              </w:rPr>
              <w:t>重大採購招標時，依機關首長需求可透過政風機構成立「機關採購廉潔平臺」跨域整合機制，防範不當外力介入採購。</w:t>
            </w:r>
          </w:p>
        </w:tc>
        <w:tc>
          <w:tcPr>
            <w:tcW w:w="2700" w:type="dxa"/>
            <w:tcBorders>
              <w:top w:val="single" w:sz="6" w:space="0" w:color="000000"/>
              <w:left w:val="single" w:sz="6" w:space="0" w:color="000000"/>
              <w:bottom w:val="single" w:sz="12" w:space="0" w:color="000000"/>
              <w:right w:val="single" w:sz="12" w:space="0" w:color="000000"/>
            </w:tcBorders>
            <w:shd w:fill="auto" w:val="clear"/>
          </w:tcPr>
          <w:p>
            <w:pPr>
              <w:pStyle w:val="Normal"/>
              <w:spacing w:lineRule="exact" w:line="360"/>
              <w:jc w:val="both"/>
              <w:rPr>
                <w:rFonts w:eastAsia="標楷體"/>
                <w:color w:val="000000"/>
              </w:rPr>
            </w:pPr>
            <w:r>
              <w:rPr>
                <w:rFonts w:eastAsia="標楷體"/>
                <w:color w:val="000000"/>
              </w:rPr>
              <w:t>法務部</w:t>
            </w:r>
            <w:r>
              <w:rPr>
                <w:rFonts w:eastAsia="標楷體"/>
                <w:color w:val="000000"/>
              </w:rPr>
              <w:t>111</w:t>
            </w:r>
            <w:r>
              <w:rPr>
                <w:rFonts w:eastAsia="標楷體"/>
                <w:color w:val="000000"/>
              </w:rPr>
              <w:t>年</w:t>
            </w:r>
            <w:r>
              <w:rPr>
                <w:rFonts w:eastAsia="標楷體"/>
                <w:color w:val="000000"/>
              </w:rPr>
              <w:t>4</w:t>
            </w:r>
            <w:r>
              <w:rPr>
                <w:rFonts w:eastAsia="標楷體"/>
                <w:color w:val="000000"/>
              </w:rPr>
              <w:t>月</w:t>
            </w:r>
            <w:r>
              <w:rPr>
                <w:rFonts w:eastAsia="標楷體"/>
                <w:color w:val="000000"/>
              </w:rPr>
              <w:t>29</w:t>
            </w:r>
            <w:r>
              <w:rPr>
                <w:rFonts w:eastAsia="標楷體"/>
                <w:color w:val="000000"/>
              </w:rPr>
              <w:t>日法廉字第</w:t>
            </w:r>
            <w:r>
              <w:rPr>
                <w:rFonts w:eastAsia="標楷體"/>
                <w:color w:val="000000"/>
              </w:rPr>
              <w:t>11105001890</w:t>
            </w:r>
            <w:r>
              <w:rPr>
                <w:rFonts w:eastAsia="標楷體"/>
                <w:color w:val="000000"/>
              </w:rPr>
              <w:t>號函、本會</w:t>
            </w:r>
            <w:r>
              <w:rPr>
                <w:rFonts w:eastAsia="標楷體"/>
                <w:color w:val="000000"/>
              </w:rPr>
              <w:t>111</w:t>
            </w:r>
            <w:r>
              <w:rPr>
                <w:rFonts w:eastAsia="標楷體"/>
                <w:color w:val="000000"/>
              </w:rPr>
              <w:t>年</w:t>
            </w:r>
            <w:r>
              <w:rPr>
                <w:rFonts w:eastAsia="標楷體"/>
                <w:color w:val="000000"/>
              </w:rPr>
              <w:t>10</w:t>
            </w:r>
            <w:r>
              <w:rPr>
                <w:rFonts w:eastAsia="標楷體"/>
                <w:color w:val="000000"/>
              </w:rPr>
              <w:t>月</w:t>
            </w:r>
            <w:r>
              <w:rPr>
                <w:rFonts w:eastAsia="標楷體"/>
                <w:color w:val="000000"/>
              </w:rPr>
              <w:t>4</w:t>
            </w:r>
            <w:r>
              <w:rPr>
                <w:rFonts w:eastAsia="標楷體"/>
                <w:color w:val="000000"/>
              </w:rPr>
              <w:t>日工程企字第字第</w:t>
            </w:r>
            <w:r>
              <w:rPr>
                <w:rFonts w:eastAsia="標楷體"/>
                <w:color w:val="000000"/>
              </w:rPr>
              <w:t>1110023679</w:t>
            </w:r>
            <w:r>
              <w:rPr>
                <w:rFonts w:eastAsia="標楷體"/>
                <w:color w:val="000000"/>
              </w:rPr>
              <w:t>號函</w:t>
            </w:r>
          </w:p>
        </w:tc>
      </w:tr>
    </w:tbl>
    <w:p>
      <w:pPr>
        <w:pStyle w:val="Normal"/>
        <w:rPr/>
      </w:pPr>
      <w:r>
        <w:rPr/>
      </w:r>
    </w:p>
    <w:sectPr>
      <w:footerReference w:type="default" r:id="rId2"/>
      <w:type w:val="nextPage"/>
      <w:pgSz w:w="11906" w:h="16838"/>
      <w:pgMar w:left="1247" w:right="1134" w:header="0" w:top="1134" w:footer="851"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w:charset w:val="88"/>
    <w:family w:val="swiss"/>
    <w:pitch w:val="variable"/>
  </w:font>
  <w:font w:name="Liberation Sans">
    <w:altName w:val="Arial"/>
    <w:charset w:val="88"/>
    <w:family w:val="swiss"/>
    <w:pitch w:val="variable"/>
  </w:font>
  <w:font w:name="標楷體">
    <w:charset w:val="88"/>
    <w:family w:val="script"/>
    <w:pitch w:val="default"/>
  </w:font>
  <w:font w:name="細明體">
    <w:altName w:val="MingLiU"/>
    <w:charset w:val="88"/>
    <w:family w:val="modern"/>
    <w:pitch w:val="default"/>
  </w:font>
  <w:font w:name="Tahoma">
    <w:charset w:val="88"/>
    <w:family w:val="swiss"/>
    <w:pitch w:val="variable"/>
  </w:font>
  <w:font w:name="新細明體">
    <w:altName w:val="PMingLiU"/>
    <w:charset w:val="88"/>
    <w:family w:val="roman"/>
    <w:pitch w:val="variable"/>
  </w:font>
  <w:font w:name="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5"/>
      </w:rPr>
      <w:fldChar w:fldCharType="begin"/>
    </w:r>
    <w:r>
      <w:rPr>
        <w:rStyle w:val="Style15"/>
      </w:rPr>
      <w:instrText> PAGE </w:instrText>
    </w:r>
    <w:r>
      <w:rPr>
        <w:rStyle w:val="Style15"/>
      </w:rPr>
      <w:fldChar w:fldCharType="separate"/>
    </w:r>
    <w:r>
      <w:rPr>
        <w:rStyle w:val="Style15"/>
      </w:rPr>
      <w:t>6</w:t>
    </w:r>
    <w:r>
      <w:rPr>
        <w:rStyle w:val="Style15"/>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84"/>
        </w:tabs>
        <w:ind w:left="360" w:hanging="360"/>
      </w:pPr>
      <w:rPr/>
    </w:lvl>
  </w:abstractNum>
  <w:abstractNum w:abstractNumId="2">
    <w:lvl w:ilvl="0">
      <w:start w:val="1"/>
      <w:numFmt w:val="decimal"/>
      <w:lvlText w:val="%1."/>
      <w:lvlJc w:val="left"/>
      <w:pPr>
        <w:tabs>
          <w:tab w:val="num" w:pos="284"/>
        </w:tabs>
        <w:ind w:left="360" w:hanging="360"/>
      </w:pPr>
      <w:rPr/>
    </w:lvl>
  </w:abstractNum>
  <w:abstractNum w:abstractNumId="3">
    <w:lvl w:ilvl="0">
      <w:start w:val="1"/>
      <w:numFmt w:val="decimal"/>
      <w:lvlText w:val="%1."/>
      <w:lvlJc w:val="left"/>
      <w:pPr>
        <w:tabs>
          <w:tab w:val="num" w:pos="284"/>
        </w:tabs>
        <w:ind w:left="360" w:hanging="360"/>
      </w:pPr>
      <w:rPr>
        <w:b/>
      </w:rPr>
    </w:lvl>
  </w:abstractNum>
  <w:abstractNum w:abstractNumId="4">
    <w:lvl w:ilvl="0">
      <w:start w:val="1"/>
      <w:numFmt w:val="decimal"/>
      <w:lvlText w:val="%1."/>
      <w:lvlJc w:val="left"/>
      <w:pPr>
        <w:tabs>
          <w:tab w:val="num" w:pos="284"/>
        </w:tabs>
        <w:ind w:left="360" w:hanging="360"/>
      </w:pPr>
      <w:rPr/>
    </w:lvl>
  </w:abstractNum>
  <w:abstractNum w:abstractNumId="5">
    <w:lvl w:ilvl="0">
      <w:start w:val="1"/>
      <w:numFmt w:val="decimal"/>
      <w:lvlText w:val="（%1）"/>
      <w:lvlJc w:val="left"/>
      <w:pPr>
        <w:ind w:left="720" w:hanging="720"/>
      </w:pPr>
      <w:rPr/>
    </w:lvl>
  </w:abstractNum>
  <w:abstractNum w:abstractNumId="6">
    <w:lvl w:ilvl="0">
      <w:start w:val="1"/>
      <w:numFmt w:val="decimal"/>
      <w:lvlText w:val="%1."/>
      <w:lvlJc w:val="left"/>
      <w:pPr>
        <w:tabs>
          <w:tab w:val="num" w:pos="284"/>
        </w:tabs>
        <w:ind w:left="360" w:hanging="360"/>
      </w:pPr>
      <w:rPr>
        <w:b/>
      </w:rPr>
    </w:lvl>
  </w:abstractNum>
  <w:abstractNum w:abstractNumId="7">
    <w:lvl w:ilvl="0">
      <w:start w:val="1"/>
      <w:numFmt w:val="decimal"/>
      <w:lvlText w:val="%1."/>
      <w:lvlJc w:val="left"/>
      <w:pPr>
        <w:tabs>
          <w:tab w:val="num" w:pos="284"/>
        </w:tabs>
        <w:ind w:left="360" w:hanging="360"/>
      </w:pPr>
      <w:rPr/>
    </w:lvl>
  </w:abstractNum>
  <w:abstractNum w:abstractNumId="8">
    <w:lvl w:ilvl="0">
      <w:start w:val="1"/>
      <w:numFmt w:val="decimal"/>
      <w:lvlText w:val="%1."/>
      <w:lvlJc w:val="left"/>
      <w:pPr>
        <w:tabs>
          <w:tab w:val="num" w:pos="284"/>
        </w:tabs>
        <w:ind w:left="360" w:hanging="360"/>
      </w:pPr>
      <w:rPr>
        <w:b/>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Arial Unicode MS"/>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新細明體;PMingLiU" w:cs="Times New Roman"/>
      <w:color w:val="auto"/>
      <w:kern w:val="2"/>
      <w:sz w:val="24"/>
      <w:szCs w:val="24"/>
      <w:lang w:val="en-US" w:eastAsia="zh-TW" w:bidi="ar-SA"/>
    </w:rPr>
  </w:style>
  <w:style w:type="character" w:styleId="WW8Num1z0">
    <w:name w:val="WW8Num1z0"/>
    <w:qFormat/>
    <w:rPr/>
  </w:style>
  <w:style w:type="character" w:styleId="WW8Num2z0">
    <w:name w:val="WW8Num2z0"/>
    <w:qFormat/>
    <w:rPr/>
  </w:style>
  <w:style w:type="character" w:styleId="WW8Num3z0">
    <w:name w:val="WW8Num3z0"/>
    <w:qFormat/>
    <w:rPr>
      <w:b/>
    </w:rPr>
  </w:style>
  <w:style w:type="character" w:styleId="WW8Num4z0">
    <w:name w:val="WW8Num4z0"/>
    <w:qFormat/>
    <w:rPr/>
  </w:style>
  <w:style w:type="character" w:styleId="WW8Num5z0">
    <w:name w:val="WW8Num5z0"/>
    <w:qFormat/>
    <w:rPr/>
  </w:style>
  <w:style w:type="character" w:styleId="WW8Num6z0">
    <w:name w:val="WW8Num6z0"/>
    <w:qFormat/>
    <w:rPr>
      <w:b/>
    </w:rPr>
  </w:style>
  <w:style w:type="character" w:styleId="WW8Num7z0">
    <w:name w:val="WW8Num7z0"/>
    <w:qFormat/>
    <w:rPr/>
  </w:style>
  <w:style w:type="character" w:styleId="WW8Num8z0">
    <w:name w:val="WW8Num8z0"/>
    <w:qFormat/>
    <w:rPr>
      <w:b/>
    </w:rPr>
  </w:style>
  <w:style w:type="character" w:styleId="WW8Num9z0">
    <w:name w:val="WW8Num9z0"/>
    <w:qFormat/>
    <w:rPr>
      <w:b/>
    </w:rPr>
  </w:style>
  <w:style w:type="character" w:styleId="Style14">
    <w:name w:val="預設段落字型"/>
    <w:qFormat/>
    <w:rPr/>
  </w:style>
  <w:style w:type="character" w:styleId="Style15">
    <w:name w:val="頁碼"/>
    <w:basedOn w:val="Style14"/>
    <w:rPr/>
  </w:style>
  <w:style w:type="character" w:styleId="ListParagraphChar2">
    <w:name w:val="List Paragraph Char2"/>
    <w:qFormat/>
    <w:rPr>
      <w:rFonts w:ascii="Calibri" w:hAnsi="Calibri" w:eastAsia="新細明體;PMingLiU" w:cs="Calibri"/>
      <w:kern w:val="2"/>
      <w:sz w:val="22"/>
      <w:szCs w:val="22"/>
      <w:lang w:val="en-US" w:eastAsia="zh-TW" w:bidi="ar-SA"/>
    </w:rPr>
  </w:style>
  <w:style w:type="character" w:styleId="Style16">
    <w:name w:val="特別強調"/>
    <w:basedOn w:val="Style14"/>
    <w:qFormat/>
    <w:rPr>
      <w:b/>
      <w:bCs/>
    </w:rPr>
  </w:style>
  <w:style w:type="character" w:styleId="Style17">
    <w:name w:val="註解參照"/>
    <w:basedOn w:val="Style14"/>
    <w:qFormat/>
    <w:rPr>
      <w:sz w:val="18"/>
      <w:szCs w:val="18"/>
    </w:rPr>
  </w:style>
  <w:style w:type="paragraph" w:styleId="Style18">
    <w:name w:val="標題"/>
    <w:basedOn w:val="Normal"/>
    <w:next w:val="Style19"/>
    <w:qFormat/>
    <w:pPr>
      <w:keepNext w:val="true"/>
      <w:spacing w:before="240" w:after="120"/>
    </w:pPr>
    <w:rPr>
      <w:rFonts w:ascii="Liberation Sans;Arial" w:hAnsi="Liberation Sans;Arial" w:eastAsia="微軟正黑體"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索引"/>
    <w:basedOn w:val="Normal"/>
    <w:qFormat/>
    <w:pPr>
      <w:suppressLineNumbers/>
    </w:pPr>
    <w:rPr>
      <w:rFonts w:cs="Arial Unicode MS"/>
      <w:lang w:val="zxx" w:eastAsia="zxx" w:bidi="zxx"/>
    </w:rPr>
  </w:style>
  <w:style w:type="paragraph" w:styleId="Style23">
    <w:name w:val="Body Text Indent"/>
    <w:basedOn w:val="Normal"/>
    <w:pPr>
      <w:ind w:left="727" w:right="0" w:hanging="727"/>
    </w:pPr>
    <w:rPr>
      <w:rFonts w:ascii="標楷體" w:hAnsi="標楷體" w:eastAsia="標楷體" w:cs="標楷體"/>
      <w:szCs w:val="20"/>
      <w:u w:val="wave"/>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paragraph" w:styleId="Style26">
    <w:name w:val="純文字"/>
    <w:basedOn w:val="Normal"/>
    <w:qFormat/>
    <w:pPr/>
    <w:rPr>
      <w:rFonts w:ascii="細明體;MingLiU" w:hAnsi="細明體;MingLiU" w:eastAsia="細明體;MingLiU" w:cs="標楷體"/>
    </w:rPr>
  </w:style>
  <w:style w:type="paragraph" w:styleId="1">
    <w:name w:val=" 字元 字元1 字元 字元 字元 字元"/>
    <w:basedOn w:val="Normal"/>
    <w:qFormat/>
    <w:pPr>
      <w:widowControl/>
      <w:spacing w:lineRule="exact" w:line="240" w:before="0" w:after="160"/>
    </w:pPr>
    <w:rPr>
      <w:rFonts w:ascii="Tahoma" w:hAnsi="Tahoma" w:cs="Tahoma"/>
      <w:kern w:val="0"/>
      <w:sz w:val="20"/>
      <w:szCs w:val="20"/>
    </w:rPr>
  </w:style>
  <w:style w:type="paragraph" w:styleId="ListParagraph">
    <w:name w:val="List Paragraph"/>
    <w:basedOn w:val="Normal"/>
    <w:qFormat/>
    <w:pPr>
      <w:ind w:left="480" w:right="0" w:hanging="0"/>
    </w:pPr>
    <w:rPr>
      <w:rFonts w:ascii="Calibri" w:hAnsi="Calibri" w:cs="Calibri"/>
      <w:sz w:val="22"/>
      <w:szCs w:val="22"/>
    </w:rPr>
  </w:style>
  <w:style w:type="paragraph" w:styleId="Web">
    <w:name w:val="內文 (Web)"/>
    <w:basedOn w:val="Normal"/>
    <w:qFormat/>
    <w:pPr>
      <w:widowControl/>
      <w:spacing w:before="280" w:after="280"/>
    </w:pPr>
    <w:rPr>
      <w:rFonts w:ascii="新細明體;PMingLiU" w:hAnsi="新細明體;PMingLiU" w:cs="新細明體;PMingLiU"/>
      <w:kern w:val="0"/>
    </w:rPr>
  </w:style>
  <w:style w:type="paragraph" w:styleId="Xmsonormal">
    <w:name w:val="x_msonormal"/>
    <w:basedOn w:val="Normal"/>
    <w:qFormat/>
    <w:pPr>
      <w:widowControl/>
      <w:spacing w:before="280" w:after="280"/>
    </w:pPr>
    <w:rPr>
      <w:rFonts w:ascii="新細明體;PMingLiU" w:hAnsi="新細明體;PMingLiU" w:cs="新細明體;PMingLiU"/>
      <w:kern w:val="0"/>
    </w:rPr>
  </w:style>
  <w:style w:type="paragraph" w:styleId="Style27">
    <w:name w:val="註解文字"/>
    <w:basedOn w:val="Normal"/>
    <w:qFormat/>
    <w:pPr/>
    <w:rPr/>
  </w:style>
  <w:style w:type="paragraph" w:styleId="Style28">
    <w:name w:val="註解主旨"/>
    <w:basedOn w:val="Style27"/>
    <w:next w:val="Style27"/>
    <w:qFormat/>
    <w:pPr/>
    <w:rPr>
      <w:b/>
      <w:bCs/>
    </w:rPr>
  </w:style>
  <w:style w:type="paragraph" w:styleId="Style29">
    <w:name w:val="註解方塊文字"/>
    <w:basedOn w:val="Normal"/>
    <w:qFormat/>
    <w:pPr/>
    <w:rPr>
      <w:rFonts w:ascii="Arial" w:hAnsi="Arial" w:cs="Arial"/>
      <w:sz w:val="18"/>
      <w:szCs w:val="18"/>
    </w:rPr>
  </w:style>
  <w:style w:type="paragraph" w:styleId="Style30">
    <w:name w:val=" 字元 字元 字元"/>
    <w:basedOn w:val="Normal"/>
    <w:qFormat/>
    <w:pPr>
      <w:snapToGrid w:val="false"/>
      <w:spacing w:lineRule="exact" w:line="280"/>
      <w:ind w:left="504" w:right="0" w:hanging="504"/>
      <w:jc w:val="both"/>
    </w:pPr>
    <w:rPr>
      <w:rFonts w:eastAsia="標楷體" w:cs="標楷體"/>
      <w:bCs/>
      <w:spacing w:val="6"/>
    </w:rPr>
  </w:style>
  <w:style w:type="paragraph" w:styleId="Style31">
    <w:name w:val="表格內容"/>
    <w:basedOn w:val="Normal"/>
    <w:qFormat/>
    <w:pPr>
      <w:widowControl w:val="false"/>
      <w:suppressLineNumbers/>
    </w:pPr>
    <w:rPr/>
  </w:style>
  <w:style w:type="paragraph" w:styleId="Style32">
    <w:name w:val="表格標題"/>
    <w:basedOn w:val="Style3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LibreOffice/6.2.5.2$Windows_X86_64 LibreOffice_project/1ec314fa52f458adc18c4f025c545a4e8b22c159</Application>
  <Pages>6</Pages>
  <Words>4387</Words>
  <CharactersWithSpaces>4650</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2022-11-14T11:53:00Z</dcterms:created>
  <dc:creator>USER</dc:creator>
  <dc:description/>
  <dc:language>zh-TW</dc:language>
  <cp:lastModifiedBy/>
  <cp:lastPrinted>2022-10-04T15:23:00Z</cp:lastPrinted>
  <dcterms:modified xsi:type="dcterms:W3CDTF">2022-11-14T15:01:52Z</dcterms:modified>
  <cp:revision>15</cp:revision>
  <dc:subject/>
  <dc:title>建築工程規劃設計可能綁標行為態樣</dc:title>
</cp:coreProperties>
</file>