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94" w:rsidRPr="007E1E94" w:rsidRDefault="007E1E94" w:rsidP="007E1E94">
      <w:pPr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7E1E94">
        <w:rPr>
          <w:rFonts w:ascii="Times New Roman" w:eastAsia="新細明體" w:hAnsi="Times New Roman" w:cs="Times New Roman"/>
          <w:b/>
          <w:bCs/>
          <w:kern w:val="0"/>
          <w:sz w:val="40"/>
          <w:szCs w:val="40"/>
        </w:rPr>
        <w:t>106</w:t>
      </w:r>
      <w:r w:rsidRPr="007E1E94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年重新上架之課程清單</w:t>
      </w:r>
    </w:p>
    <w:p w:rsidR="007E1E94" w:rsidRPr="007E1E94" w:rsidRDefault="007E1E94" w:rsidP="007E1E94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913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84"/>
        <w:gridCol w:w="8248"/>
      </w:tblGrid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項目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課程名稱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1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基樁與連續壁及鋼構篇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2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預力樑及機電系統篇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3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鋼筋模板篇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4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模板支撐及混凝土篇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5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瀝青混凝土及護坡工程篇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6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建築工程履約及品質重點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(100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7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排水工程履約及品質重點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(100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8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道路工程履約及品質重點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(100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9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color w:val="FF0000"/>
                <w:kern w:val="0"/>
                <w:sz w:val="27"/>
                <w:szCs w:val="27"/>
              </w:rPr>
              <w:t>水利水保工程履約管理與常見缺失預防</w:t>
            </w:r>
            <w:r w:rsidRPr="007E1E94">
              <w:rPr>
                <w:rFonts w:ascii="Arial Unicode MS" w:eastAsia="Arial Unicode MS" w:hAnsi="Arial Unicode MS" w:cs="Arial Unicode MS"/>
                <w:color w:val="FF0000"/>
                <w:kern w:val="0"/>
                <w:sz w:val="27"/>
                <w:szCs w:val="27"/>
              </w:rPr>
              <w:t>(101</w:t>
            </w:r>
            <w:r w:rsidRPr="007E1E94">
              <w:rPr>
                <w:rFonts w:ascii="新細明體" w:eastAsia="新細明體" w:hAnsi="新細明體" w:cs="新細明體"/>
                <w:color w:val="FF0000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color w:val="FF0000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10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color w:val="FF0000"/>
                <w:kern w:val="0"/>
                <w:sz w:val="27"/>
                <w:szCs w:val="27"/>
              </w:rPr>
              <w:t>排污水工程履約管理與常見缺失預防</w:t>
            </w:r>
            <w:r w:rsidRPr="007E1E94">
              <w:rPr>
                <w:rFonts w:ascii="Arial Unicode MS" w:eastAsia="Arial Unicode MS" w:hAnsi="Arial Unicode MS" w:cs="Arial Unicode MS"/>
                <w:color w:val="FF0000"/>
                <w:kern w:val="0"/>
                <w:sz w:val="27"/>
                <w:szCs w:val="27"/>
              </w:rPr>
              <w:t>(101</w:t>
            </w:r>
            <w:r w:rsidRPr="007E1E94">
              <w:rPr>
                <w:rFonts w:ascii="新細明體" w:eastAsia="新細明體" w:hAnsi="新細明體" w:cs="新細明體"/>
                <w:color w:val="FF0000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color w:val="FF0000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11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機水電工程監督實務與缺失案例解說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(103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12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裝修及景觀工程監督實務與缺失案例解說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(103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</w:tbl>
    <w:p w:rsidR="007E1E94" w:rsidRPr="007E1E94" w:rsidRDefault="007E1E94" w:rsidP="007E1E94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p w:rsidR="007561A9" w:rsidRDefault="007561A9"/>
    <w:sectPr w:rsidR="007561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94"/>
    <w:rsid w:val="006428A1"/>
    <w:rsid w:val="007561A9"/>
    <w:rsid w:val="007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1E94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1E94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Setanal St.</dc:creator>
  <cp:lastModifiedBy>user</cp:lastModifiedBy>
  <cp:revision>2</cp:revision>
  <dcterms:created xsi:type="dcterms:W3CDTF">2017-01-12T05:06:00Z</dcterms:created>
  <dcterms:modified xsi:type="dcterms:W3CDTF">2017-01-12T05:06:00Z</dcterms:modified>
</cp:coreProperties>
</file>