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03B" w:rsidRPr="00632F32" w:rsidRDefault="004C1659" w:rsidP="009B0F14">
      <w:pPr>
        <w:spacing w:line="520" w:lineRule="exact"/>
        <w:jc w:val="center"/>
        <w:rPr>
          <w:rFonts w:ascii="標楷體" w:eastAsia="標楷體" w:hAnsi="標楷體"/>
          <w:sz w:val="36"/>
          <w:szCs w:val="36"/>
        </w:rPr>
      </w:pPr>
      <w:bookmarkStart w:id="0" w:name="_GoBack"/>
      <w:bookmarkEnd w:id="0"/>
      <w:r w:rsidRPr="00632F32">
        <w:rPr>
          <w:rFonts w:ascii="標楷體" w:eastAsia="標楷體" w:hAnsi="標楷體" w:hint="eastAsia"/>
          <w:sz w:val="36"/>
          <w:szCs w:val="36"/>
        </w:rPr>
        <w:t>行政院及所屬各機關推動業務委託民間辦理實施要點</w:t>
      </w:r>
      <w:r w:rsidR="000374CC" w:rsidRPr="00632F32">
        <w:rPr>
          <w:rFonts w:ascii="標楷體" w:eastAsia="標楷體" w:hAnsi="標楷體" w:hint="eastAsia"/>
          <w:sz w:val="36"/>
          <w:szCs w:val="36"/>
        </w:rPr>
        <w:t>第三點</w:t>
      </w:r>
      <w:r w:rsidR="000374CC" w:rsidRPr="00632F32">
        <w:rPr>
          <w:rFonts w:ascii="新細明體" w:eastAsia="新細明體" w:hAnsi="新細明體" w:hint="eastAsia"/>
          <w:sz w:val="36"/>
          <w:szCs w:val="36"/>
        </w:rPr>
        <w:t>、</w:t>
      </w:r>
      <w:r w:rsidR="002E0092" w:rsidRPr="00632F32">
        <w:rPr>
          <w:rFonts w:ascii="標楷體" w:eastAsia="標楷體" w:hAnsi="標楷體" w:hint="eastAsia"/>
          <w:sz w:val="36"/>
          <w:szCs w:val="36"/>
        </w:rPr>
        <w:t>第十二點</w:t>
      </w:r>
      <w:r w:rsidR="006321CD">
        <w:rPr>
          <w:rFonts w:ascii="標楷體" w:eastAsia="標楷體" w:hAnsi="標楷體" w:hint="eastAsia"/>
          <w:sz w:val="36"/>
          <w:szCs w:val="36"/>
        </w:rPr>
        <w:t>、</w:t>
      </w:r>
      <w:r w:rsidR="000374CC" w:rsidRPr="00632F32">
        <w:rPr>
          <w:rFonts w:ascii="標楷體" w:eastAsia="標楷體" w:hAnsi="標楷體" w:hint="eastAsia"/>
          <w:sz w:val="36"/>
          <w:szCs w:val="36"/>
        </w:rPr>
        <w:t>第十四點</w:t>
      </w:r>
      <w:r w:rsidR="002E0092" w:rsidRPr="00632F32">
        <w:rPr>
          <w:rFonts w:ascii="標楷體" w:eastAsia="標楷體" w:hAnsi="標楷體" w:hint="eastAsia"/>
          <w:sz w:val="36"/>
          <w:szCs w:val="36"/>
        </w:rPr>
        <w:t>修正對照表</w:t>
      </w:r>
    </w:p>
    <w:tbl>
      <w:tblPr>
        <w:tblStyle w:val="a3"/>
        <w:tblW w:w="0" w:type="auto"/>
        <w:tblLook w:val="04A0" w:firstRow="1" w:lastRow="0" w:firstColumn="1" w:lastColumn="0" w:noHBand="0" w:noVBand="1"/>
      </w:tblPr>
      <w:tblGrid>
        <w:gridCol w:w="2787"/>
        <w:gridCol w:w="2787"/>
        <w:gridCol w:w="2788"/>
      </w:tblGrid>
      <w:tr w:rsidR="002E0092" w:rsidTr="002E0092">
        <w:tc>
          <w:tcPr>
            <w:tcW w:w="2787" w:type="dxa"/>
          </w:tcPr>
          <w:p w:rsidR="002E0092" w:rsidRPr="007A4478" w:rsidRDefault="00416D31" w:rsidP="007A4478">
            <w:pPr>
              <w:jc w:val="distribute"/>
              <w:rPr>
                <w:rFonts w:ascii="標楷體" w:eastAsia="標楷體" w:hAnsi="標楷體"/>
                <w:szCs w:val="24"/>
              </w:rPr>
            </w:pPr>
            <w:r w:rsidRPr="007A4478">
              <w:rPr>
                <w:rFonts w:ascii="標楷體" w:eastAsia="標楷體" w:hAnsi="標楷體" w:hint="eastAsia"/>
                <w:szCs w:val="24"/>
              </w:rPr>
              <w:t>修正規定</w:t>
            </w:r>
          </w:p>
        </w:tc>
        <w:tc>
          <w:tcPr>
            <w:tcW w:w="2787" w:type="dxa"/>
          </w:tcPr>
          <w:p w:rsidR="002E0092" w:rsidRPr="007A4478" w:rsidRDefault="00416D31" w:rsidP="007A4478">
            <w:pPr>
              <w:jc w:val="distribute"/>
              <w:rPr>
                <w:rFonts w:ascii="標楷體" w:eastAsia="標楷體" w:hAnsi="標楷體"/>
                <w:szCs w:val="24"/>
              </w:rPr>
            </w:pPr>
            <w:r w:rsidRPr="007A4478">
              <w:rPr>
                <w:rFonts w:ascii="標楷體" w:eastAsia="標楷體" w:hAnsi="標楷體" w:hint="eastAsia"/>
                <w:szCs w:val="24"/>
              </w:rPr>
              <w:t>現行規定</w:t>
            </w:r>
          </w:p>
        </w:tc>
        <w:tc>
          <w:tcPr>
            <w:tcW w:w="2788" w:type="dxa"/>
          </w:tcPr>
          <w:p w:rsidR="002E0092" w:rsidRPr="007A4478" w:rsidRDefault="00416D31" w:rsidP="007A4478">
            <w:pPr>
              <w:jc w:val="distribute"/>
              <w:rPr>
                <w:rFonts w:ascii="標楷體" w:eastAsia="標楷體" w:hAnsi="標楷體"/>
                <w:szCs w:val="24"/>
              </w:rPr>
            </w:pPr>
            <w:r w:rsidRPr="007A4478">
              <w:rPr>
                <w:rFonts w:ascii="標楷體" w:eastAsia="標楷體" w:hAnsi="標楷體" w:hint="eastAsia"/>
                <w:szCs w:val="24"/>
              </w:rPr>
              <w:t>說明</w:t>
            </w:r>
          </w:p>
        </w:tc>
      </w:tr>
      <w:tr w:rsidR="000374CC" w:rsidTr="00E5083E">
        <w:trPr>
          <w:trHeight w:val="3534"/>
        </w:trPr>
        <w:tc>
          <w:tcPr>
            <w:tcW w:w="2787" w:type="dxa"/>
          </w:tcPr>
          <w:p w:rsidR="000374CC" w:rsidRPr="000374CC" w:rsidRDefault="000374CC" w:rsidP="00F858A2">
            <w:pPr>
              <w:pStyle w:val="a4"/>
              <w:spacing w:line="240" w:lineRule="auto"/>
              <w:ind w:left="420" w:hangingChars="175" w:hanging="420"/>
              <w:jc w:val="both"/>
              <w:rPr>
                <w:snapToGrid w:val="0"/>
                <w:sz w:val="24"/>
                <w:szCs w:val="24"/>
              </w:rPr>
            </w:pPr>
            <w:r w:rsidRPr="000374CC">
              <w:rPr>
                <w:snapToGrid w:val="0"/>
                <w:sz w:val="24"/>
                <w:szCs w:val="24"/>
              </w:rPr>
              <w:t>三、</w:t>
            </w:r>
            <w:r w:rsidRPr="000374CC">
              <w:rPr>
                <w:rFonts w:hint="eastAsia"/>
                <w:snapToGrid w:val="0"/>
                <w:sz w:val="24"/>
                <w:szCs w:val="24"/>
              </w:rPr>
              <w:t>各機關業務除涉及公權力委託民間辦理案件，應依相關法令規定辦理外，屬公共服務或執行性質，經主管機關評估適合委託民間辦理（以下簡稱委外）者，得委外辦理。</w:t>
            </w:r>
          </w:p>
          <w:p w:rsidR="000374CC" w:rsidRPr="000374CC" w:rsidRDefault="000374CC" w:rsidP="004256D4">
            <w:pPr>
              <w:ind w:leftChars="175" w:left="420" w:firstLineChars="200" w:firstLine="480"/>
              <w:jc w:val="both"/>
              <w:rPr>
                <w:rFonts w:ascii="標楷體" w:eastAsia="標楷體" w:hAnsi="標楷體" w:cs="Times New Roman"/>
                <w:snapToGrid w:val="0"/>
                <w:szCs w:val="24"/>
              </w:rPr>
            </w:pPr>
            <w:r w:rsidRPr="000374CC">
              <w:rPr>
                <w:rFonts w:ascii="標楷體" w:eastAsia="標楷體" w:hAnsi="標楷體" w:hint="eastAsia"/>
                <w:snapToGrid w:val="0"/>
                <w:szCs w:val="24"/>
              </w:rPr>
              <w:t>主管機關應依本要點督導各機關委外辦理情形。</w:t>
            </w:r>
          </w:p>
        </w:tc>
        <w:tc>
          <w:tcPr>
            <w:tcW w:w="2787" w:type="dxa"/>
          </w:tcPr>
          <w:p w:rsidR="000374CC" w:rsidRPr="000374CC" w:rsidRDefault="000374CC" w:rsidP="000374CC">
            <w:pPr>
              <w:pStyle w:val="a4"/>
              <w:spacing w:line="240" w:lineRule="auto"/>
              <w:ind w:left="420" w:hangingChars="175" w:hanging="420"/>
              <w:jc w:val="both"/>
              <w:rPr>
                <w:snapToGrid w:val="0"/>
                <w:sz w:val="24"/>
                <w:szCs w:val="24"/>
              </w:rPr>
            </w:pPr>
            <w:r w:rsidRPr="000374CC">
              <w:rPr>
                <w:snapToGrid w:val="0"/>
                <w:sz w:val="24"/>
                <w:szCs w:val="24"/>
              </w:rPr>
              <w:t>三、</w:t>
            </w:r>
            <w:r w:rsidRPr="000374CC">
              <w:rPr>
                <w:rFonts w:hint="eastAsia"/>
                <w:snapToGrid w:val="0"/>
                <w:sz w:val="24"/>
                <w:szCs w:val="24"/>
              </w:rPr>
              <w:t>各機關業務除涉及公權力委託民間辦理案件，應依相關法令規定辦理外，屬公共服務或執行性質，經主管機關評估適合委託民間辦理（以下簡稱委外）者，得委外辦理。</w:t>
            </w:r>
          </w:p>
          <w:p w:rsidR="000374CC" w:rsidRPr="000374CC" w:rsidRDefault="000374CC" w:rsidP="000374CC">
            <w:pPr>
              <w:ind w:leftChars="175" w:left="420" w:firstLineChars="190" w:firstLine="456"/>
              <w:jc w:val="both"/>
              <w:rPr>
                <w:rFonts w:ascii="標楷體" w:eastAsia="標楷體" w:hAnsi="標楷體" w:cs="Times New Roman"/>
                <w:snapToGrid w:val="0"/>
                <w:szCs w:val="24"/>
              </w:rPr>
            </w:pPr>
            <w:r w:rsidRPr="000374CC">
              <w:rPr>
                <w:rFonts w:ascii="標楷體" w:eastAsia="標楷體" w:hAnsi="標楷體" w:hint="eastAsia"/>
                <w:snapToGrid w:val="0"/>
                <w:szCs w:val="24"/>
              </w:rPr>
              <w:t>主管機關</w:t>
            </w:r>
            <w:r w:rsidRPr="000374CC">
              <w:rPr>
                <w:rFonts w:ascii="標楷體" w:eastAsia="標楷體" w:hAnsi="標楷體" w:hint="eastAsia"/>
                <w:snapToGrid w:val="0"/>
                <w:szCs w:val="24"/>
                <w:u w:val="single"/>
              </w:rPr>
              <w:t>及本院指定之機關，</w:t>
            </w:r>
            <w:r w:rsidRPr="000374CC">
              <w:rPr>
                <w:rFonts w:ascii="標楷體" w:eastAsia="標楷體" w:hAnsi="標楷體" w:hint="eastAsia"/>
                <w:snapToGrid w:val="0"/>
                <w:szCs w:val="24"/>
              </w:rPr>
              <w:t>應依本要點</w:t>
            </w:r>
            <w:r w:rsidRPr="000374CC">
              <w:rPr>
                <w:rFonts w:ascii="標楷體" w:eastAsia="標楷體" w:hAnsi="標楷體" w:hint="eastAsia"/>
                <w:snapToGrid w:val="0"/>
                <w:szCs w:val="24"/>
                <w:u w:val="single"/>
              </w:rPr>
              <w:t>分別辦理</w:t>
            </w:r>
            <w:r w:rsidRPr="000374CC">
              <w:rPr>
                <w:rFonts w:ascii="標楷體" w:eastAsia="標楷體" w:hAnsi="標楷體" w:hint="eastAsia"/>
                <w:snapToGrid w:val="0"/>
                <w:szCs w:val="24"/>
              </w:rPr>
              <w:t>督導</w:t>
            </w:r>
            <w:r w:rsidRPr="000374CC">
              <w:rPr>
                <w:rFonts w:ascii="標楷體" w:eastAsia="標楷體" w:hAnsi="標楷體" w:hint="eastAsia"/>
                <w:snapToGrid w:val="0"/>
                <w:szCs w:val="24"/>
                <w:u w:val="single"/>
              </w:rPr>
              <w:t>、評鑑</w:t>
            </w:r>
            <w:r w:rsidRPr="000374CC">
              <w:rPr>
                <w:rFonts w:ascii="標楷體" w:eastAsia="標楷體" w:hAnsi="標楷體" w:hint="eastAsia"/>
                <w:snapToGrid w:val="0"/>
                <w:szCs w:val="24"/>
              </w:rPr>
              <w:t>各機關委外辦理情形。</w:t>
            </w:r>
          </w:p>
        </w:tc>
        <w:tc>
          <w:tcPr>
            <w:tcW w:w="2788" w:type="dxa"/>
          </w:tcPr>
          <w:p w:rsidR="000374CC" w:rsidRDefault="005D289A" w:rsidP="005D289A">
            <w:pPr>
              <w:jc w:val="both"/>
              <w:rPr>
                <w:rFonts w:ascii="標楷體" w:eastAsia="標楷體" w:hAnsi="標楷體"/>
                <w:szCs w:val="24"/>
              </w:rPr>
            </w:pPr>
            <w:r>
              <w:rPr>
                <w:rFonts w:ascii="標楷體" w:eastAsia="標楷體" w:hAnsi="標楷體" w:hint="eastAsia"/>
                <w:szCs w:val="24"/>
              </w:rPr>
              <w:t>茲因刪除原第十二點第二項</w:t>
            </w:r>
            <w:r w:rsidR="007A6C49">
              <w:rPr>
                <w:rFonts w:ascii="標楷體" w:eastAsia="標楷體" w:hAnsi="標楷體" w:hint="eastAsia"/>
                <w:szCs w:val="24"/>
              </w:rPr>
              <w:t>評鑑作業規定</w:t>
            </w:r>
            <w:r>
              <w:rPr>
                <w:rFonts w:ascii="標楷體" w:eastAsia="標楷體" w:hAnsi="標楷體" w:hint="eastAsia"/>
                <w:szCs w:val="24"/>
              </w:rPr>
              <w:t>，爰刪除第二項相關文字，並酌作文字修正</w:t>
            </w:r>
            <w:r>
              <w:rPr>
                <w:rFonts w:ascii="新細明體" w:eastAsia="新細明體" w:hAnsi="新細明體" w:hint="eastAsia"/>
                <w:szCs w:val="24"/>
              </w:rPr>
              <w:t>。</w:t>
            </w:r>
          </w:p>
        </w:tc>
      </w:tr>
      <w:tr w:rsidR="009C57E1" w:rsidTr="00E5083E">
        <w:trPr>
          <w:trHeight w:val="3534"/>
        </w:trPr>
        <w:tc>
          <w:tcPr>
            <w:tcW w:w="2787" w:type="dxa"/>
          </w:tcPr>
          <w:p w:rsidR="009C57E1" w:rsidRPr="00532840" w:rsidRDefault="009C57E1" w:rsidP="00EC2AEF">
            <w:pPr>
              <w:ind w:left="658" w:hangingChars="274" w:hanging="658"/>
              <w:jc w:val="both"/>
              <w:rPr>
                <w:rFonts w:ascii="Times New Roman" w:eastAsia="標楷體" w:hAnsi="Times New Roman" w:cs="Times New Roman"/>
                <w:snapToGrid w:val="0"/>
                <w:szCs w:val="24"/>
              </w:rPr>
            </w:pPr>
            <w:r w:rsidRPr="00532840">
              <w:rPr>
                <w:rFonts w:ascii="Times New Roman" w:eastAsia="標楷體" w:hAnsi="Times New Roman" w:cs="Times New Roman"/>
                <w:snapToGrid w:val="0"/>
                <w:szCs w:val="24"/>
              </w:rPr>
              <w:t>十</w:t>
            </w:r>
            <w:r w:rsidRPr="00532840">
              <w:rPr>
                <w:rFonts w:ascii="Times New Roman" w:eastAsia="標楷體" w:hAnsi="Times New Roman" w:cs="Times New Roman" w:hint="eastAsia"/>
                <w:snapToGrid w:val="0"/>
                <w:szCs w:val="24"/>
              </w:rPr>
              <w:t>二</w:t>
            </w:r>
            <w:r w:rsidRPr="00532840">
              <w:rPr>
                <w:rFonts w:ascii="Times New Roman" w:eastAsia="標楷體" w:hAnsi="Times New Roman" w:cs="Times New Roman"/>
                <w:snapToGrid w:val="0"/>
                <w:szCs w:val="24"/>
              </w:rPr>
              <w:t>、</w:t>
            </w:r>
            <w:r w:rsidR="002F13E3">
              <w:rPr>
                <w:rFonts w:ascii="Times New Roman" w:eastAsia="標楷體" w:hAnsi="Times New Roman" w:cs="Times New Roman" w:hint="eastAsia"/>
                <w:snapToGrid w:val="0"/>
                <w:szCs w:val="24"/>
              </w:rPr>
              <w:t>各機關整體業務委外案件，應於每年</w:t>
            </w:r>
            <w:r w:rsidRPr="00532840">
              <w:rPr>
                <w:rFonts w:ascii="Times New Roman" w:eastAsia="標楷體" w:hAnsi="Times New Roman" w:cs="Times New Roman" w:hint="eastAsia"/>
                <w:snapToGrid w:val="0"/>
                <w:szCs w:val="24"/>
              </w:rPr>
              <w:t>十二月底前將辦理情形送人事總處，其格式如附表；各機關部分業務委外案件，由主管機關自行列管。</w:t>
            </w:r>
          </w:p>
          <w:p w:rsidR="009C57E1" w:rsidRPr="00532840" w:rsidRDefault="009C57E1" w:rsidP="00C254D5">
            <w:pPr>
              <w:ind w:leftChars="295" w:left="708" w:firstLineChars="206" w:firstLine="494"/>
              <w:jc w:val="both"/>
              <w:rPr>
                <w:rFonts w:ascii="Times New Roman" w:eastAsia="標楷體" w:hAnsi="Times New Roman" w:cs="Times New Roman"/>
                <w:snapToGrid w:val="0"/>
                <w:szCs w:val="24"/>
              </w:rPr>
            </w:pPr>
            <w:r w:rsidRPr="00532840">
              <w:rPr>
                <w:rFonts w:ascii="Times New Roman" w:eastAsia="標楷體" w:hAnsi="Times New Roman" w:cs="Times New Roman" w:hint="eastAsia"/>
                <w:snapToGrid w:val="0"/>
                <w:szCs w:val="24"/>
              </w:rPr>
              <w:t>各機關推動業務委外情形，列入機關考成及人事業務績效考核之重要參考。</w:t>
            </w:r>
          </w:p>
        </w:tc>
        <w:tc>
          <w:tcPr>
            <w:tcW w:w="2787" w:type="dxa"/>
          </w:tcPr>
          <w:p w:rsidR="002F13E3" w:rsidRPr="00532840" w:rsidRDefault="002F13E3" w:rsidP="002F13E3">
            <w:pPr>
              <w:ind w:left="658" w:hangingChars="274" w:hanging="658"/>
              <w:jc w:val="both"/>
              <w:rPr>
                <w:rFonts w:ascii="Times New Roman" w:eastAsia="標楷體" w:hAnsi="Times New Roman" w:cs="Times New Roman"/>
                <w:snapToGrid w:val="0"/>
                <w:szCs w:val="24"/>
              </w:rPr>
            </w:pPr>
            <w:r w:rsidRPr="00532840">
              <w:rPr>
                <w:rFonts w:ascii="Times New Roman" w:eastAsia="標楷體" w:hAnsi="Times New Roman" w:cs="Times New Roman"/>
                <w:snapToGrid w:val="0"/>
                <w:szCs w:val="24"/>
              </w:rPr>
              <w:t>十</w:t>
            </w:r>
            <w:r w:rsidRPr="00532840">
              <w:rPr>
                <w:rFonts w:ascii="Times New Roman" w:eastAsia="標楷體" w:hAnsi="Times New Roman" w:cs="Times New Roman" w:hint="eastAsia"/>
                <w:snapToGrid w:val="0"/>
                <w:szCs w:val="24"/>
              </w:rPr>
              <w:t>二</w:t>
            </w:r>
            <w:r w:rsidRPr="00532840">
              <w:rPr>
                <w:rFonts w:ascii="Times New Roman" w:eastAsia="標楷體" w:hAnsi="Times New Roman" w:cs="Times New Roman"/>
                <w:snapToGrid w:val="0"/>
                <w:szCs w:val="24"/>
              </w:rPr>
              <w:t>、</w:t>
            </w:r>
            <w:r w:rsidRPr="00532840">
              <w:rPr>
                <w:rFonts w:ascii="Times New Roman" w:eastAsia="標楷體" w:hAnsi="Times New Roman" w:cs="Times New Roman" w:hint="eastAsia"/>
                <w:snapToGrid w:val="0"/>
                <w:szCs w:val="24"/>
              </w:rPr>
              <w:t>各機關整體業務委外案件，應於每年</w:t>
            </w:r>
            <w:r w:rsidRPr="002F13E3">
              <w:rPr>
                <w:rFonts w:ascii="Times New Roman" w:eastAsia="標楷體" w:hAnsi="Times New Roman" w:cs="Times New Roman" w:hint="eastAsia"/>
                <w:snapToGrid w:val="0"/>
                <w:szCs w:val="24"/>
                <w:u w:val="single"/>
              </w:rPr>
              <w:t>六、</w:t>
            </w:r>
            <w:r w:rsidRPr="00532840">
              <w:rPr>
                <w:rFonts w:ascii="Times New Roman" w:eastAsia="標楷體" w:hAnsi="Times New Roman" w:cs="Times New Roman" w:hint="eastAsia"/>
                <w:snapToGrid w:val="0"/>
                <w:szCs w:val="24"/>
              </w:rPr>
              <w:t>十二月底前將辦理情形送人事總處，其格式如附表；各機關部分業務委外案件，由主管機關自行列管。</w:t>
            </w:r>
          </w:p>
          <w:p w:rsidR="002F13E3" w:rsidRPr="002F13E3" w:rsidRDefault="002F13E3" w:rsidP="002F13E3">
            <w:pPr>
              <w:ind w:leftChars="280" w:left="672" w:firstLineChars="232" w:firstLine="557"/>
              <w:jc w:val="both"/>
              <w:rPr>
                <w:rFonts w:ascii="Times New Roman" w:eastAsia="標楷體" w:hAnsi="Times New Roman" w:cs="Times New Roman"/>
                <w:snapToGrid w:val="0"/>
                <w:szCs w:val="24"/>
                <w:u w:val="single"/>
              </w:rPr>
            </w:pPr>
            <w:r w:rsidRPr="002F13E3">
              <w:rPr>
                <w:rFonts w:ascii="Times New Roman" w:eastAsia="標楷體" w:hAnsi="Times New Roman" w:cs="Times New Roman" w:hint="eastAsia"/>
                <w:snapToGrid w:val="0"/>
                <w:szCs w:val="24"/>
                <w:u w:val="single"/>
              </w:rPr>
              <w:t>為瞭解各機關推動業務委外情形，得由人事總處會同本院綜合業務處、主計總處、國家發展委員會及公共工程委員會等機關及學者、專家組成評鑑小組實施評鑑，其評鑑方式、項目及結論管考如下：</w:t>
            </w:r>
          </w:p>
          <w:p w:rsidR="002F13E3" w:rsidRPr="002F13E3" w:rsidRDefault="002F13E3" w:rsidP="002F13E3">
            <w:pPr>
              <w:numPr>
                <w:ilvl w:val="0"/>
                <w:numId w:val="6"/>
              </w:numPr>
              <w:ind w:left="709" w:hanging="425"/>
              <w:jc w:val="both"/>
              <w:rPr>
                <w:rFonts w:ascii="Times New Roman" w:eastAsia="標楷體" w:hAnsi="Times New Roman" w:cs="Times New Roman"/>
                <w:snapToGrid w:val="0"/>
                <w:szCs w:val="24"/>
                <w:u w:val="single"/>
              </w:rPr>
            </w:pPr>
            <w:r w:rsidRPr="002F13E3">
              <w:rPr>
                <w:rFonts w:ascii="Times New Roman" w:eastAsia="標楷體" w:hAnsi="Times New Roman" w:cs="Times New Roman" w:hint="eastAsia"/>
                <w:snapToGrid w:val="0"/>
                <w:szCs w:val="24"/>
                <w:u w:val="single"/>
              </w:rPr>
              <w:lastRenderedPageBreak/>
              <w:t>評鑑方式：以實地評鑑為原則，必要</w:t>
            </w:r>
            <w:r w:rsidRPr="002F13E3">
              <w:rPr>
                <w:rFonts w:ascii="Times New Roman" w:eastAsia="標楷體" w:hAnsi="Times New Roman" w:cs="Times New Roman" w:hint="eastAsia"/>
                <w:snapToGrid w:val="0"/>
                <w:szCs w:val="24"/>
                <w:u w:val="single"/>
              </w:rPr>
              <w:t xml:space="preserve"> </w:t>
            </w:r>
            <w:r w:rsidRPr="002F13E3">
              <w:rPr>
                <w:rFonts w:ascii="Times New Roman" w:eastAsia="標楷體" w:hAnsi="Times New Roman" w:cs="Times New Roman" w:hint="eastAsia"/>
                <w:snapToGrid w:val="0"/>
                <w:szCs w:val="24"/>
                <w:u w:val="single"/>
              </w:rPr>
              <w:t>時得採書面評鑑。</w:t>
            </w:r>
          </w:p>
          <w:p w:rsidR="002F13E3" w:rsidRPr="002F13E3" w:rsidRDefault="002F13E3" w:rsidP="002F13E3">
            <w:pPr>
              <w:numPr>
                <w:ilvl w:val="0"/>
                <w:numId w:val="6"/>
              </w:numPr>
              <w:ind w:left="714" w:hanging="430"/>
              <w:jc w:val="both"/>
              <w:rPr>
                <w:rFonts w:ascii="Times New Roman" w:eastAsia="標楷體" w:hAnsi="Times New Roman" w:cs="Times New Roman"/>
                <w:snapToGrid w:val="0"/>
                <w:szCs w:val="24"/>
                <w:u w:val="single"/>
              </w:rPr>
            </w:pPr>
            <w:r w:rsidRPr="002F13E3">
              <w:rPr>
                <w:rFonts w:ascii="Times New Roman" w:eastAsia="標楷體" w:hAnsi="Times New Roman" w:cs="Times New Roman" w:hint="eastAsia"/>
                <w:snapToGrid w:val="0"/>
                <w:szCs w:val="24"/>
                <w:u w:val="single"/>
              </w:rPr>
              <w:t>評鑑項目：評鑑重點項目包含委外前後公共任務執行情形、人力配置消長、經費編列情形、委外效益、履約管理及內部控制制度等。</w:t>
            </w:r>
          </w:p>
          <w:p w:rsidR="002F13E3" w:rsidRPr="00532840" w:rsidRDefault="002F13E3" w:rsidP="002F13E3">
            <w:pPr>
              <w:numPr>
                <w:ilvl w:val="0"/>
                <w:numId w:val="6"/>
              </w:numPr>
              <w:ind w:left="709" w:hanging="415"/>
              <w:jc w:val="both"/>
              <w:rPr>
                <w:rFonts w:ascii="Times New Roman" w:eastAsia="標楷體" w:hAnsi="Times New Roman" w:cs="Times New Roman"/>
                <w:snapToGrid w:val="0"/>
                <w:szCs w:val="24"/>
              </w:rPr>
            </w:pPr>
            <w:r w:rsidRPr="002F13E3">
              <w:rPr>
                <w:rFonts w:ascii="Times New Roman" w:eastAsia="標楷體" w:hAnsi="Times New Roman" w:cs="Times New Roman" w:hint="eastAsia"/>
                <w:snapToGrid w:val="0"/>
                <w:szCs w:val="24"/>
                <w:u w:val="single"/>
              </w:rPr>
              <w:t>評鑑結論管考：由評鑑小組依評鑑結果進行會商，並提出評鑑結論，經本院核定後，送受評機關據以執行，受評機關應於每半年將執行情形送人事總處列管。</w:t>
            </w:r>
          </w:p>
          <w:p w:rsidR="009C57E1" w:rsidRPr="00532840" w:rsidRDefault="002F13E3" w:rsidP="002F13E3">
            <w:pPr>
              <w:ind w:leftChars="320" w:left="768" w:firstLineChars="198" w:firstLine="475"/>
              <w:jc w:val="both"/>
              <w:rPr>
                <w:rFonts w:ascii="標楷體" w:eastAsia="標楷體" w:hAnsi="標楷體"/>
                <w:szCs w:val="24"/>
              </w:rPr>
            </w:pPr>
            <w:r w:rsidRPr="00532840">
              <w:rPr>
                <w:rFonts w:ascii="Times New Roman" w:eastAsia="標楷體" w:hAnsi="Times New Roman" w:cs="Times New Roman" w:hint="eastAsia"/>
                <w:snapToGrid w:val="0"/>
                <w:szCs w:val="24"/>
              </w:rPr>
              <w:t>各機關推動業務委外情形，列入機關考成及人事業務績效考核之重要參考。</w:t>
            </w:r>
          </w:p>
        </w:tc>
        <w:tc>
          <w:tcPr>
            <w:tcW w:w="2788" w:type="dxa"/>
          </w:tcPr>
          <w:p w:rsidR="009C57E1" w:rsidRDefault="00560BB8" w:rsidP="00002554">
            <w:pPr>
              <w:ind w:left="516" w:hangingChars="215" w:hanging="516"/>
              <w:jc w:val="both"/>
              <w:rPr>
                <w:rFonts w:ascii="標楷體" w:eastAsia="標楷體" w:hAnsi="標楷體"/>
                <w:szCs w:val="24"/>
              </w:rPr>
            </w:pPr>
            <w:r>
              <w:rPr>
                <w:rFonts w:ascii="標楷體" w:eastAsia="標楷體" w:hAnsi="標楷體" w:hint="eastAsia"/>
                <w:szCs w:val="24"/>
              </w:rPr>
              <w:lastRenderedPageBreak/>
              <w:t>一</w:t>
            </w:r>
            <w:r>
              <w:rPr>
                <w:rFonts w:ascii="新細明體" w:eastAsia="新細明體" w:hAnsi="新細明體" w:hint="eastAsia"/>
                <w:szCs w:val="24"/>
              </w:rPr>
              <w:t>、</w:t>
            </w:r>
            <w:r w:rsidR="00AE6247" w:rsidRPr="00AE6247">
              <w:rPr>
                <w:rFonts w:ascii="標楷體" w:eastAsia="標楷體" w:hAnsi="標楷體" w:hint="eastAsia"/>
                <w:szCs w:val="24"/>
              </w:rPr>
              <w:t>為落實管考作業簡化</w:t>
            </w:r>
            <w:r w:rsidR="00AE6247">
              <w:rPr>
                <w:rFonts w:ascii="新細明體" w:eastAsia="新細明體" w:hAnsi="新細明體" w:hint="eastAsia"/>
                <w:szCs w:val="24"/>
              </w:rPr>
              <w:t>、</w:t>
            </w:r>
            <w:r w:rsidR="00AE6247">
              <w:rPr>
                <w:rFonts w:ascii="標楷體" w:eastAsia="標楷體" w:hAnsi="標楷體" w:hint="eastAsia"/>
                <w:szCs w:val="24"/>
              </w:rPr>
              <w:t>減少報表作業，以聚焦核心業務</w:t>
            </w:r>
            <w:r w:rsidR="00764D3D">
              <w:rPr>
                <w:rFonts w:ascii="標楷體" w:eastAsia="標楷體" w:hAnsi="標楷體" w:hint="eastAsia"/>
                <w:szCs w:val="24"/>
              </w:rPr>
              <w:t>，</w:t>
            </w:r>
            <w:r w:rsidR="00D17736">
              <w:rPr>
                <w:rFonts w:ascii="標楷體" w:eastAsia="標楷體" w:hAnsi="標楷體" w:hint="eastAsia"/>
                <w:szCs w:val="24"/>
              </w:rPr>
              <w:t>爰修正第一項，將每年</w:t>
            </w:r>
            <w:r w:rsidR="00C976C4">
              <w:rPr>
                <w:rFonts w:ascii="Times New Roman" w:eastAsia="標楷體" w:hAnsi="Times New Roman" w:cs="Times New Roman" w:hint="eastAsia"/>
                <w:szCs w:val="24"/>
              </w:rPr>
              <w:t>二</w:t>
            </w:r>
            <w:r w:rsidR="00D17736" w:rsidRPr="00107BC4">
              <w:rPr>
                <w:rFonts w:ascii="Times New Roman" w:eastAsia="標楷體" w:hAnsi="Times New Roman" w:cs="Times New Roman"/>
                <w:szCs w:val="24"/>
              </w:rPr>
              <w:t>次</w:t>
            </w:r>
            <w:r w:rsidR="00D17736" w:rsidRPr="00107BC4">
              <w:rPr>
                <w:rFonts w:ascii="Times New Roman" w:eastAsia="標楷體" w:hAnsi="Times New Roman" w:cs="Times New Roman"/>
                <w:szCs w:val="24"/>
              </w:rPr>
              <w:t>(</w:t>
            </w:r>
            <w:r w:rsidR="00D17736" w:rsidRPr="00107BC4">
              <w:rPr>
                <w:rFonts w:ascii="Times New Roman" w:eastAsia="標楷體" w:hAnsi="Times New Roman" w:cs="Times New Roman"/>
                <w:szCs w:val="24"/>
              </w:rPr>
              <w:t>每半年</w:t>
            </w:r>
            <w:r w:rsidR="00D17736" w:rsidRPr="00107BC4">
              <w:rPr>
                <w:rFonts w:ascii="Times New Roman" w:eastAsia="標楷體" w:hAnsi="Times New Roman" w:cs="Times New Roman"/>
                <w:szCs w:val="24"/>
              </w:rPr>
              <w:t>)</w:t>
            </w:r>
            <w:r w:rsidR="00D17736" w:rsidRPr="00107BC4">
              <w:rPr>
                <w:rFonts w:ascii="Times New Roman" w:eastAsia="標楷體" w:hAnsi="Times New Roman" w:cs="Times New Roman"/>
                <w:szCs w:val="24"/>
              </w:rPr>
              <w:t>填報</w:t>
            </w:r>
            <w:r w:rsidR="00002554" w:rsidRPr="00107BC4">
              <w:rPr>
                <w:rFonts w:ascii="Times New Roman" w:eastAsia="標楷體" w:hAnsi="Times New Roman" w:cs="Times New Roman"/>
                <w:szCs w:val="24"/>
              </w:rPr>
              <w:t>作業簡化</w:t>
            </w:r>
            <w:r w:rsidR="00D17736" w:rsidRPr="00107BC4">
              <w:rPr>
                <w:rFonts w:ascii="Times New Roman" w:eastAsia="標楷體" w:hAnsi="Times New Roman" w:cs="Times New Roman"/>
                <w:szCs w:val="24"/>
              </w:rPr>
              <w:t>為</w:t>
            </w:r>
            <w:r w:rsidR="00C976C4">
              <w:rPr>
                <w:rFonts w:ascii="Times New Roman" w:eastAsia="標楷體" w:hAnsi="Times New Roman" w:cs="Times New Roman" w:hint="eastAsia"/>
                <w:szCs w:val="24"/>
              </w:rPr>
              <w:t>一</w:t>
            </w:r>
            <w:r w:rsidR="00002554" w:rsidRPr="00107BC4">
              <w:rPr>
                <w:rFonts w:ascii="Times New Roman" w:eastAsia="標楷體" w:hAnsi="Times New Roman" w:cs="Times New Roman"/>
                <w:szCs w:val="24"/>
              </w:rPr>
              <w:t>次</w:t>
            </w:r>
            <w:r w:rsidR="00002554" w:rsidRPr="00107BC4">
              <w:rPr>
                <w:rFonts w:ascii="Times New Roman" w:eastAsia="標楷體" w:hAnsi="Times New Roman" w:cs="Times New Roman"/>
                <w:szCs w:val="24"/>
              </w:rPr>
              <w:t>(</w:t>
            </w:r>
            <w:r w:rsidR="00002554" w:rsidRPr="00107BC4">
              <w:rPr>
                <w:rFonts w:ascii="Times New Roman" w:eastAsia="標楷體" w:hAnsi="Times New Roman" w:cs="Times New Roman"/>
                <w:szCs w:val="24"/>
              </w:rPr>
              <w:t>每</w:t>
            </w:r>
            <w:r w:rsidR="00002554">
              <w:rPr>
                <w:rFonts w:ascii="標楷體" w:eastAsia="標楷體" w:hAnsi="標楷體" w:hint="eastAsia"/>
                <w:szCs w:val="24"/>
              </w:rPr>
              <w:t>年)</w:t>
            </w:r>
            <w:r w:rsidR="009C57E1" w:rsidRPr="00AE6247">
              <w:rPr>
                <w:rFonts w:ascii="標楷體" w:eastAsia="標楷體" w:hAnsi="標楷體" w:hint="eastAsia"/>
                <w:szCs w:val="24"/>
              </w:rPr>
              <w:t>。</w:t>
            </w:r>
          </w:p>
          <w:p w:rsidR="00560BB8" w:rsidRPr="0075093D" w:rsidRDefault="00560BB8" w:rsidP="00002554">
            <w:pPr>
              <w:ind w:left="420" w:hangingChars="175" w:hanging="420"/>
              <w:jc w:val="both"/>
              <w:rPr>
                <w:rFonts w:ascii="標楷體" w:eastAsia="標楷體" w:hAnsi="標楷體"/>
                <w:szCs w:val="24"/>
              </w:rPr>
            </w:pPr>
            <w:r>
              <w:rPr>
                <w:rFonts w:ascii="標楷體" w:eastAsia="標楷體" w:hAnsi="標楷體" w:hint="eastAsia"/>
                <w:szCs w:val="24"/>
              </w:rPr>
              <w:t>二</w:t>
            </w:r>
            <w:r>
              <w:rPr>
                <w:rFonts w:ascii="新細明體" w:eastAsia="新細明體" w:hAnsi="新細明體" w:hint="eastAsia"/>
                <w:szCs w:val="24"/>
              </w:rPr>
              <w:t>、</w:t>
            </w:r>
            <w:r w:rsidR="00FB32EC">
              <w:rPr>
                <w:rFonts w:ascii="標楷體" w:eastAsia="標楷體" w:hAnsi="標楷體" w:hint="eastAsia"/>
                <w:szCs w:val="32"/>
              </w:rPr>
              <w:t>考量</w:t>
            </w:r>
            <w:r w:rsidR="005F4D31">
              <w:rPr>
                <w:rFonts w:ascii="標楷體" w:eastAsia="標楷體" w:hAnsi="標楷體" w:hint="eastAsia"/>
                <w:szCs w:val="32"/>
              </w:rPr>
              <w:t>本</w:t>
            </w:r>
            <w:r w:rsidR="00745293">
              <w:rPr>
                <w:rFonts w:ascii="標楷體" w:eastAsia="標楷體" w:hAnsi="標楷體" w:hint="eastAsia"/>
                <w:szCs w:val="32"/>
              </w:rPr>
              <w:t>院業將各機關業務委外情形納入辦理所屬二級機關員額評鑑之評鑑項目</w:t>
            </w:r>
            <w:r w:rsidR="00002554" w:rsidRPr="00002554">
              <w:rPr>
                <w:rFonts w:ascii="標楷體" w:eastAsia="標楷體" w:hAnsi="標楷體" w:hint="eastAsia"/>
                <w:szCs w:val="32"/>
              </w:rPr>
              <w:t>，</w:t>
            </w:r>
            <w:r w:rsidR="00DE23A5" w:rsidRPr="00DE23A5">
              <w:rPr>
                <w:rFonts w:ascii="標楷體" w:eastAsia="標楷體" w:hAnsi="標楷體" w:hint="eastAsia"/>
                <w:szCs w:val="24"/>
              </w:rPr>
              <w:t>為簡化作業，</w:t>
            </w:r>
            <w:r w:rsidR="00DE23A5">
              <w:rPr>
                <w:rFonts w:ascii="標楷體" w:eastAsia="標楷體" w:hAnsi="標楷體" w:hint="eastAsia"/>
                <w:szCs w:val="24"/>
              </w:rPr>
              <w:t>爰</w:t>
            </w:r>
            <w:r w:rsidR="00002554" w:rsidRPr="00002554">
              <w:rPr>
                <w:rFonts w:ascii="標楷體" w:eastAsia="標楷體" w:hAnsi="標楷體" w:hint="eastAsia"/>
                <w:szCs w:val="32"/>
              </w:rPr>
              <w:t>刪除第二項</w:t>
            </w:r>
            <w:r w:rsidR="00DE23A5">
              <w:rPr>
                <w:rFonts w:ascii="新細明體" w:eastAsia="新細明體" w:hAnsi="新細明體" w:hint="eastAsia"/>
                <w:szCs w:val="32"/>
              </w:rPr>
              <w:t>。</w:t>
            </w:r>
            <w:r w:rsidR="0075093D" w:rsidRPr="0075093D">
              <w:rPr>
                <w:rFonts w:ascii="標楷體" w:eastAsia="標楷體" w:hAnsi="標楷體" w:hint="eastAsia"/>
                <w:szCs w:val="32"/>
              </w:rPr>
              <w:t>惟各機關仍應完備自主管理機制，</w:t>
            </w:r>
            <w:r w:rsidR="0075093D">
              <w:rPr>
                <w:rFonts w:ascii="標楷體" w:eastAsia="標楷體" w:hAnsi="標楷體" w:hint="eastAsia"/>
                <w:szCs w:val="32"/>
              </w:rPr>
              <w:t>並賡續透過</w:t>
            </w:r>
            <w:r w:rsidR="0075093D" w:rsidRPr="0075093D">
              <w:rPr>
                <w:rFonts w:ascii="標楷體" w:eastAsia="標楷體" w:hAnsi="標楷體" w:hint="eastAsia"/>
                <w:szCs w:val="32"/>
              </w:rPr>
              <w:t>履約管理、書面</w:t>
            </w:r>
            <w:r w:rsidR="00793D9A">
              <w:rPr>
                <w:rFonts w:ascii="標楷體" w:eastAsia="標楷體" w:hAnsi="標楷體" w:hint="eastAsia"/>
                <w:szCs w:val="32"/>
              </w:rPr>
              <w:t>資料審查、會議審議及派員實地訪查或檢測等方式，精進監督查核機制</w:t>
            </w:r>
            <w:r w:rsidR="00793D9A">
              <w:rPr>
                <w:rFonts w:ascii="新細明體" w:eastAsia="新細明體" w:hAnsi="新細明體" w:hint="eastAsia"/>
                <w:szCs w:val="32"/>
              </w:rPr>
              <w:t>。</w:t>
            </w:r>
          </w:p>
          <w:p w:rsidR="009C57E1" w:rsidRPr="00532840" w:rsidRDefault="009C57E1" w:rsidP="00C254D5">
            <w:pPr>
              <w:rPr>
                <w:rFonts w:ascii="標楷體" w:eastAsia="標楷體" w:hAnsi="標楷體"/>
                <w:szCs w:val="24"/>
              </w:rPr>
            </w:pPr>
          </w:p>
        </w:tc>
      </w:tr>
      <w:tr w:rsidR="000374CC" w:rsidTr="000374CC">
        <w:tc>
          <w:tcPr>
            <w:tcW w:w="2787" w:type="dxa"/>
          </w:tcPr>
          <w:p w:rsidR="000374CC" w:rsidRPr="00532840" w:rsidRDefault="000374CC" w:rsidP="000374CC">
            <w:pPr>
              <w:ind w:left="658" w:hangingChars="274" w:hanging="658"/>
              <w:jc w:val="both"/>
              <w:rPr>
                <w:rFonts w:ascii="Times New Roman" w:eastAsia="標楷體" w:hAnsi="Times New Roman" w:cs="Times New Roman"/>
                <w:snapToGrid w:val="0"/>
                <w:szCs w:val="24"/>
              </w:rPr>
            </w:pPr>
            <w:r w:rsidRPr="000374CC">
              <w:rPr>
                <w:rFonts w:ascii="標楷體" w:eastAsia="標楷體" w:hAnsi="標楷體"/>
                <w:szCs w:val="24"/>
              </w:rPr>
              <w:lastRenderedPageBreak/>
              <w:t>十</w:t>
            </w:r>
            <w:r w:rsidRPr="000374CC">
              <w:rPr>
                <w:rFonts w:ascii="標楷體" w:eastAsia="標楷體" w:hAnsi="標楷體" w:hint="eastAsia"/>
                <w:szCs w:val="24"/>
              </w:rPr>
              <w:t>四、各機關未依督導結果辦理者，除已同意展延完成期限或另為適當處理外，得視情節輕重，由各主管機關追究相關人員行政責任。</w:t>
            </w:r>
          </w:p>
        </w:tc>
        <w:tc>
          <w:tcPr>
            <w:tcW w:w="2787" w:type="dxa"/>
          </w:tcPr>
          <w:p w:rsidR="000374CC" w:rsidRPr="000374CC" w:rsidRDefault="000374CC" w:rsidP="000374CC">
            <w:pPr>
              <w:ind w:left="658" w:hangingChars="274" w:hanging="658"/>
              <w:jc w:val="both"/>
              <w:rPr>
                <w:rFonts w:ascii="標楷體" w:eastAsia="標楷體" w:hAnsi="標楷體" w:cs="Times New Roman"/>
                <w:snapToGrid w:val="0"/>
                <w:szCs w:val="24"/>
              </w:rPr>
            </w:pPr>
            <w:r w:rsidRPr="000374CC">
              <w:rPr>
                <w:rFonts w:ascii="標楷體" w:eastAsia="標楷體" w:hAnsi="標楷體"/>
                <w:szCs w:val="24"/>
              </w:rPr>
              <w:t>十</w:t>
            </w:r>
            <w:r w:rsidRPr="000374CC">
              <w:rPr>
                <w:rFonts w:ascii="標楷體" w:eastAsia="標楷體" w:hAnsi="標楷體" w:hint="eastAsia"/>
                <w:szCs w:val="24"/>
              </w:rPr>
              <w:t>四、各機關未依督導結果</w:t>
            </w:r>
            <w:r w:rsidRPr="000374CC">
              <w:rPr>
                <w:rFonts w:ascii="標楷體" w:eastAsia="標楷體" w:hAnsi="標楷體" w:hint="eastAsia"/>
                <w:szCs w:val="24"/>
                <w:u w:val="single"/>
              </w:rPr>
              <w:t>或評鑑結論</w:t>
            </w:r>
            <w:r w:rsidRPr="000374CC">
              <w:rPr>
                <w:rFonts w:ascii="標楷體" w:eastAsia="標楷體" w:hAnsi="標楷體" w:hint="eastAsia"/>
                <w:szCs w:val="24"/>
              </w:rPr>
              <w:t>辦理者，除已同意展延完成期限或另為適當處理外，得視情節輕重，由各主管機關</w:t>
            </w:r>
            <w:r w:rsidRPr="000374CC">
              <w:rPr>
                <w:rFonts w:ascii="標楷體" w:eastAsia="標楷體" w:hAnsi="標楷體" w:hint="eastAsia"/>
                <w:szCs w:val="24"/>
                <w:u w:val="single"/>
              </w:rPr>
              <w:t>或本院</w:t>
            </w:r>
            <w:r w:rsidRPr="000374CC">
              <w:rPr>
                <w:rFonts w:ascii="標楷體" w:eastAsia="標楷體" w:hAnsi="標楷體" w:hint="eastAsia"/>
                <w:szCs w:val="24"/>
              </w:rPr>
              <w:t>追究相關人員行政責任。</w:t>
            </w:r>
          </w:p>
        </w:tc>
        <w:tc>
          <w:tcPr>
            <w:tcW w:w="2788" w:type="dxa"/>
          </w:tcPr>
          <w:p w:rsidR="000374CC" w:rsidRDefault="0002430F" w:rsidP="0002430F">
            <w:pPr>
              <w:jc w:val="both"/>
              <w:rPr>
                <w:rFonts w:ascii="標楷體" w:eastAsia="標楷體" w:hAnsi="標楷體"/>
                <w:szCs w:val="24"/>
              </w:rPr>
            </w:pPr>
            <w:r>
              <w:rPr>
                <w:rFonts w:ascii="標楷體" w:eastAsia="標楷體" w:hAnsi="標楷體" w:hint="eastAsia"/>
                <w:szCs w:val="24"/>
              </w:rPr>
              <w:t>配合原第十二點第二項修正，酌作文字修正</w:t>
            </w:r>
            <w:r>
              <w:rPr>
                <w:rFonts w:ascii="新細明體" w:eastAsia="新細明體" w:hAnsi="新細明體" w:hint="eastAsia"/>
                <w:szCs w:val="24"/>
              </w:rPr>
              <w:t>。</w:t>
            </w:r>
          </w:p>
        </w:tc>
      </w:tr>
    </w:tbl>
    <w:p w:rsidR="002E0092" w:rsidRPr="002E0092" w:rsidRDefault="002E0092" w:rsidP="002E0092">
      <w:pPr>
        <w:spacing w:line="400" w:lineRule="exact"/>
        <w:jc w:val="center"/>
        <w:rPr>
          <w:rFonts w:ascii="標楷體" w:eastAsia="標楷體" w:hAnsi="標楷體"/>
          <w:sz w:val="36"/>
          <w:szCs w:val="36"/>
        </w:rPr>
      </w:pPr>
    </w:p>
    <w:sectPr w:rsidR="002E0092" w:rsidRPr="002E0092">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677" w:rsidRDefault="00E22677" w:rsidP="00D7206C">
      <w:r>
        <w:separator/>
      </w:r>
    </w:p>
  </w:endnote>
  <w:endnote w:type="continuationSeparator" w:id="0">
    <w:p w:rsidR="00E22677" w:rsidRDefault="00E22677" w:rsidP="00D7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335143"/>
      <w:docPartObj>
        <w:docPartGallery w:val="Page Numbers (Bottom of Page)"/>
        <w:docPartUnique/>
      </w:docPartObj>
    </w:sdtPr>
    <w:sdtEndPr/>
    <w:sdtContent>
      <w:p w:rsidR="000C394E" w:rsidRDefault="000C394E">
        <w:pPr>
          <w:pStyle w:val="a9"/>
          <w:jc w:val="center"/>
        </w:pPr>
        <w:r>
          <w:fldChar w:fldCharType="begin"/>
        </w:r>
        <w:r>
          <w:instrText>PAGE   \* MERGEFORMAT</w:instrText>
        </w:r>
        <w:r>
          <w:fldChar w:fldCharType="separate"/>
        </w:r>
        <w:r w:rsidR="004A3C47" w:rsidRPr="004A3C47">
          <w:rPr>
            <w:noProof/>
            <w:lang w:val="zh-TW"/>
          </w:rPr>
          <w:t>1</w:t>
        </w:r>
        <w:r>
          <w:fldChar w:fldCharType="end"/>
        </w:r>
      </w:p>
    </w:sdtContent>
  </w:sdt>
  <w:p w:rsidR="000C394E" w:rsidRDefault="000C394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677" w:rsidRDefault="00E22677" w:rsidP="00D7206C">
      <w:r>
        <w:separator/>
      </w:r>
    </w:p>
  </w:footnote>
  <w:footnote w:type="continuationSeparator" w:id="0">
    <w:p w:rsidR="00E22677" w:rsidRDefault="00E22677" w:rsidP="00D720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87F"/>
    <w:multiLevelType w:val="hybridMultilevel"/>
    <w:tmpl w:val="62B640E6"/>
    <w:lvl w:ilvl="0" w:tplc="F23467F8">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
    <w:nsid w:val="1BD61525"/>
    <w:multiLevelType w:val="hybridMultilevel"/>
    <w:tmpl w:val="1D20DC52"/>
    <w:lvl w:ilvl="0" w:tplc="F23467F8">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nsid w:val="24796111"/>
    <w:multiLevelType w:val="hybridMultilevel"/>
    <w:tmpl w:val="62B640E6"/>
    <w:lvl w:ilvl="0" w:tplc="F23467F8">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3">
    <w:nsid w:val="67363F92"/>
    <w:multiLevelType w:val="hybridMultilevel"/>
    <w:tmpl w:val="1D20DC52"/>
    <w:lvl w:ilvl="0" w:tplc="F23467F8">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nsid w:val="748B50DB"/>
    <w:multiLevelType w:val="hybridMultilevel"/>
    <w:tmpl w:val="43C6811A"/>
    <w:lvl w:ilvl="0" w:tplc="ACD4E6C0">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6C2411A"/>
    <w:multiLevelType w:val="hybridMultilevel"/>
    <w:tmpl w:val="79FAEFC6"/>
    <w:lvl w:ilvl="0" w:tplc="4DD09D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659"/>
    <w:rsid w:val="00002554"/>
    <w:rsid w:val="0002430F"/>
    <w:rsid w:val="0003280D"/>
    <w:rsid w:val="000374CC"/>
    <w:rsid w:val="00095223"/>
    <w:rsid w:val="000954B6"/>
    <w:rsid w:val="00096477"/>
    <w:rsid w:val="000C394E"/>
    <w:rsid w:val="000D0705"/>
    <w:rsid w:val="00107BC4"/>
    <w:rsid w:val="0016461B"/>
    <w:rsid w:val="001B6187"/>
    <w:rsid w:val="001C784B"/>
    <w:rsid w:val="002242AE"/>
    <w:rsid w:val="00254C93"/>
    <w:rsid w:val="00283FFA"/>
    <w:rsid w:val="002A2259"/>
    <w:rsid w:val="002C27AF"/>
    <w:rsid w:val="002C317D"/>
    <w:rsid w:val="002E0092"/>
    <w:rsid w:val="002E6680"/>
    <w:rsid w:val="002F13E3"/>
    <w:rsid w:val="002F6BD7"/>
    <w:rsid w:val="0032155A"/>
    <w:rsid w:val="00332160"/>
    <w:rsid w:val="00341AF9"/>
    <w:rsid w:val="0035631A"/>
    <w:rsid w:val="00366710"/>
    <w:rsid w:val="003B2A60"/>
    <w:rsid w:val="003C2C0B"/>
    <w:rsid w:val="00416D31"/>
    <w:rsid w:val="004256D4"/>
    <w:rsid w:val="00432AD0"/>
    <w:rsid w:val="00436681"/>
    <w:rsid w:val="004450D4"/>
    <w:rsid w:val="00461C26"/>
    <w:rsid w:val="004716AE"/>
    <w:rsid w:val="00484B82"/>
    <w:rsid w:val="004A3C47"/>
    <w:rsid w:val="004B1AC1"/>
    <w:rsid w:val="004C1659"/>
    <w:rsid w:val="004D141F"/>
    <w:rsid w:val="004D2F35"/>
    <w:rsid w:val="0050542E"/>
    <w:rsid w:val="00532840"/>
    <w:rsid w:val="00534E9B"/>
    <w:rsid w:val="00554AC5"/>
    <w:rsid w:val="00560BB8"/>
    <w:rsid w:val="005652F0"/>
    <w:rsid w:val="00573AB8"/>
    <w:rsid w:val="0059626E"/>
    <w:rsid w:val="005D289A"/>
    <w:rsid w:val="005F329B"/>
    <w:rsid w:val="005F4D31"/>
    <w:rsid w:val="00611C32"/>
    <w:rsid w:val="006270EC"/>
    <w:rsid w:val="006321CD"/>
    <w:rsid w:val="00632F32"/>
    <w:rsid w:val="00676324"/>
    <w:rsid w:val="00691571"/>
    <w:rsid w:val="006A308D"/>
    <w:rsid w:val="006D15D4"/>
    <w:rsid w:val="006E7486"/>
    <w:rsid w:val="00745293"/>
    <w:rsid w:val="0075093D"/>
    <w:rsid w:val="00764D3D"/>
    <w:rsid w:val="00783893"/>
    <w:rsid w:val="007838CB"/>
    <w:rsid w:val="00793D9A"/>
    <w:rsid w:val="007A1E4F"/>
    <w:rsid w:val="007A4478"/>
    <w:rsid w:val="007A6ADB"/>
    <w:rsid w:val="007A6C49"/>
    <w:rsid w:val="007B5DD9"/>
    <w:rsid w:val="007B6CE4"/>
    <w:rsid w:val="007C186C"/>
    <w:rsid w:val="007C267F"/>
    <w:rsid w:val="007D1044"/>
    <w:rsid w:val="007E1F32"/>
    <w:rsid w:val="007E5B61"/>
    <w:rsid w:val="007E5C5E"/>
    <w:rsid w:val="00803D6E"/>
    <w:rsid w:val="00805393"/>
    <w:rsid w:val="008557DE"/>
    <w:rsid w:val="00857FA9"/>
    <w:rsid w:val="00861A69"/>
    <w:rsid w:val="0088103F"/>
    <w:rsid w:val="00891DEA"/>
    <w:rsid w:val="008D6662"/>
    <w:rsid w:val="0092534F"/>
    <w:rsid w:val="009275CA"/>
    <w:rsid w:val="00963FF5"/>
    <w:rsid w:val="009B0F14"/>
    <w:rsid w:val="009B2BAE"/>
    <w:rsid w:val="009C57E1"/>
    <w:rsid w:val="009C7615"/>
    <w:rsid w:val="00A21A98"/>
    <w:rsid w:val="00A33AEE"/>
    <w:rsid w:val="00A409DB"/>
    <w:rsid w:val="00A51B79"/>
    <w:rsid w:val="00A5745F"/>
    <w:rsid w:val="00A63CCB"/>
    <w:rsid w:val="00AA48B6"/>
    <w:rsid w:val="00AD2931"/>
    <w:rsid w:val="00AE234B"/>
    <w:rsid w:val="00AE3BA5"/>
    <w:rsid w:val="00AE4296"/>
    <w:rsid w:val="00AE6247"/>
    <w:rsid w:val="00AF7C62"/>
    <w:rsid w:val="00B10F3A"/>
    <w:rsid w:val="00B11CE2"/>
    <w:rsid w:val="00B14A56"/>
    <w:rsid w:val="00B55533"/>
    <w:rsid w:val="00B61C85"/>
    <w:rsid w:val="00B63013"/>
    <w:rsid w:val="00B7698E"/>
    <w:rsid w:val="00B93794"/>
    <w:rsid w:val="00BA2363"/>
    <w:rsid w:val="00BF2537"/>
    <w:rsid w:val="00C00B71"/>
    <w:rsid w:val="00C11C86"/>
    <w:rsid w:val="00C13ABF"/>
    <w:rsid w:val="00C4128A"/>
    <w:rsid w:val="00C61813"/>
    <w:rsid w:val="00C63F9D"/>
    <w:rsid w:val="00C751F4"/>
    <w:rsid w:val="00C8070E"/>
    <w:rsid w:val="00C84E8F"/>
    <w:rsid w:val="00C87766"/>
    <w:rsid w:val="00C976C4"/>
    <w:rsid w:val="00CB24A2"/>
    <w:rsid w:val="00CB37B2"/>
    <w:rsid w:val="00D02E34"/>
    <w:rsid w:val="00D17736"/>
    <w:rsid w:val="00D20248"/>
    <w:rsid w:val="00D50A49"/>
    <w:rsid w:val="00D54FE5"/>
    <w:rsid w:val="00D63FE3"/>
    <w:rsid w:val="00D7206C"/>
    <w:rsid w:val="00D7531D"/>
    <w:rsid w:val="00D92322"/>
    <w:rsid w:val="00DC29D4"/>
    <w:rsid w:val="00DE1E40"/>
    <w:rsid w:val="00DE23A5"/>
    <w:rsid w:val="00E0378D"/>
    <w:rsid w:val="00E22677"/>
    <w:rsid w:val="00E4403B"/>
    <w:rsid w:val="00E5083E"/>
    <w:rsid w:val="00E90526"/>
    <w:rsid w:val="00EA4A38"/>
    <w:rsid w:val="00EC1228"/>
    <w:rsid w:val="00EC2AEF"/>
    <w:rsid w:val="00ED2331"/>
    <w:rsid w:val="00EE65D2"/>
    <w:rsid w:val="00EE705D"/>
    <w:rsid w:val="00EF340D"/>
    <w:rsid w:val="00F2199B"/>
    <w:rsid w:val="00F241BD"/>
    <w:rsid w:val="00F32025"/>
    <w:rsid w:val="00F4147A"/>
    <w:rsid w:val="00F63190"/>
    <w:rsid w:val="00F711E7"/>
    <w:rsid w:val="00F9057A"/>
    <w:rsid w:val="00FB32EC"/>
    <w:rsid w:val="00FC56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22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0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一、"/>
    <w:basedOn w:val="a"/>
    <w:rsid w:val="002242AE"/>
    <w:pPr>
      <w:spacing w:line="400" w:lineRule="exact"/>
    </w:pPr>
    <w:rPr>
      <w:rFonts w:ascii="標楷體" w:eastAsia="標楷體" w:hAnsi="標楷體" w:cs="Times New Roman"/>
      <w:sz w:val="22"/>
    </w:rPr>
  </w:style>
  <w:style w:type="paragraph" w:customStyle="1" w:styleId="a5">
    <w:name w:val="（一）"/>
    <w:basedOn w:val="a"/>
    <w:link w:val="a6"/>
    <w:rsid w:val="002242AE"/>
    <w:pPr>
      <w:spacing w:line="400" w:lineRule="exact"/>
      <w:ind w:leftChars="192" w:left="879" w:hangingChars="190" w:hanging="418"/>
      <w:jc w:val="both"/>
    </w:pPr>
    <w:rPr>
      <w:rFonts w:ascii="標楷體" w:eastAsia="標楷體" w:hAnsi="標楷體" w:cs="Times New Roman"/>
      <w:snapToGrid w:val="0"/>
      <w:sz w:val="22"/>
    </w:rPr>
  </w:style>
  <w:style w:type="character" w:customStyle="1" w:styleId="a6">
    <w:name w:val="（一） 字元"/>
    <w:link w:val="a5"/>
    <w:rsid w:val="002242AE"/>
    <w:rPr>
      <w:rFonts w:ascii="標楷體" w:eastAsia="標楷體" w:hAnsi="標楷體" w:cs="Times New Roman"/>
      <w:snapToGrid w:val="0"/>
      <w:sz w:val="22"/>
    </w:rPr>
  </w:style>
  <w:style w:type="paragraph" w:styleId="a7">
    <w:name w:val="header"/>
    <w:basedOn w:val="a"/>
    <w:link w:val="a8"/>
    <w:uiPriority w:val="99"/>
    <w:unhideWhenUsed/>
    <w:rsid w:val="00D7206C"/>
    <w:pPr>
      <w:tabs>
        <w:tab w:val="center" w:pos="4153"/>
        <w:tab w:val="right" w:pos="8306"/>
      </w:tabs>
      <w:snapToGrid w:val="0"/>
    </w:pPr>
    <w:rPr>
      <w:sz w:val="20"/>
      <w:szCs w:val="20"/>
    </w:rPr>
  </w:style>
  <w:style w:type="character" w:customStyle="1" w:styleId="a8">
    <w:name w:val="頁首 字元"/>
    <w:basedOn w:val="a0"/>
    <w:link w:val="a7"/>
    <w:uiPriority w:val="99"/>
    <w:rsid w:val="00D7206C"/>
    <w:rPr>
      <w:sz w:val="20"/>
      <w:szCs w:val="20"/>
    </w:rPr>
  </w:style>
  <w:style w:type="paragraph" w:styleId="a9">
    <w:name w:val="footer"/>
    <w:basedOn w:val="a"/>
    <w:link w:val="aa"/>
    <w:uiPriority w:val="99"/>
    <w:unhideWhenUsed/>
    <w:rsid w:val="00D7206C"/>
    <w:pPr>
      <w:tabs>
        <w:tab w:val="center" w:pos="4153"/>
        <w:tab w:val="right" w:pos="8306"/>
      </w:tabs>
      <w:snapToGrid w:val="0"/>
    </w:pPr>
    <w:rPr>
      <w:sz w:val="20"/>
      <w:szCs w:val="20"/>
    </w:rPr>
  </w:style>
  <w:style w:type="character" w:customStyle="1" w:styleId="aa">
    <w:name w:val="頁尾 字元"/>
    <w:basedOn w:val="a0"/>
    <w:link w:val="a9"/>
    <w:uiPriority w:val="99"/>
    <w:rsid w:val="00D7206C"/>
    <w:rPr>
      <w:sz w:val="20"/>
      <w:szCs w:val="20"/>
    </w:rPr>
  </w:style>
  <w:style w:type="paragraph" w:styleId="ab">
    <w:name w:val="List Paragraph"/>
    <w:basedOn w:val="a"/>
    <w:uiPriority w:val="34"/>
    <w:qFormat/>
    <w:rsid w:val="00B55533"/>
    <w:pPr>
      <w:ind w:leftChars="200" w:left="480"/>
    </w:pPr>
  </w:style>
  <w:style w:type="paragraph" w:styleId="ac">
    <w:name w:val="Balloon Text"/>
    <w:basedOn w:val="a"/>
    <w:link w:val="ad"/>
    <w:uiPriority w:val="99"/>
    <w:semiHidden/>
    <w:unhideWhenUsed/>
    <w:rsid w:val="00C13AB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C13AB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22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0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一、"/>
    <w:basedOn w:val="a"/>
    <w:rsid w:val="002242AE"/>
    <w:pPr>
      <w:spacing w:line="400" w:lineRule="exact"/>
    </w:pPr>
    <w:rPr>
      <w:rFonts w:ascii="標楷體" w:eastAsia="標楷體" w:hAnsi="標楷體" w:cs="Times New Roman"/>
      <w:sz w:val="22"/>
    </w:rPr>
  </w:style>
  <w:style w:type="paragraph" w:customStyle="1" w:styleId="a5">
    <w:name w:val="（一）"/>
    <w:basedOn w:val="a"/>
    <w:link w:val="a6"/>
    <w:rsid w:val="002242AE"/>
    <w:pPr>
      <w:spacing w:line="400" w:lineRule="exact"/>
      <w:ind w:leftChars="192" w:left="879" w:hangingChars="190" w:hanging="418"/>
      <w:jc w:val="both"/>
    </w:pPr>
    <w:rPr>
      <w:rFonts w:ascii="標楷體" w:eastAsia="標楷體" w:hAnsi="標楷體" w:cs="Times New Roman"/>
      <w:snapToGrid w:val="0"/>
      <w:sz w:val="22"/>
    </w:rPr>
  </w:style>
  <w:style w:type="character" w:customStyle="1" w:styleId="a6">
    <w:name w:val="（一） 字元"/>
    <w:link w:val="a5"/>
    <w:rsid w:val="002242AE"/>
    <w:rPr>
      <w:rFonts w:ascii="標楷體" w:eastAsia="標楷體" w:hAnsi="標楷體" w:cs="Times New Roman"/>
      <w:snapToGrid w:val="0"/>
      <w:sz w:val="22"/>
    </w:rPr>
  </w:style>
  <w:style w:type="paragraph" w:styleId="a7">
    <w:name w:val="header"/>
    <w:basedOn w:val="a"/>
    <w:link w:val="a8"/>
    <w:uiPriority w:val="99"/>
    <w:unhideWhenUsed/>
    <w:rsid w:val="00D7206C"/>
    <w:pPr>
      <w:tabs>
        <w:tab w:val="center" w:pos="4153"/>
        <w:tab w:val="right" w:pos="8306"/>
      </w:tabs>
      <w:snapToGrid w:val="0"/>
    </w:pPr>
    <w:rPr>
      <w:sz w:val="20"/>
      <w:szCs w:val="20"/>
    </w:rPr>
  </w:style>
  <w:style w:type="character" w:customStyle="1" w:styleId="a8">
    <w:name w:val="頁首 字元"/>
    <w:basedOn w:val="a0"/>
    <w:link w:val="a7"/>
    <w:uiPriority w:val="99"/>
    <w:rsid w:val="00D7206C"/>
    <w:rPr>
      <w:sz w:val="20"/>
      <w:szCs w:val="20"/>
    </w:rPr>
  </w:style>
  <w:style w:type="paragraph" w:styleId="a9">
    <w:name w:val="footer"/>
    <w:basedOn w:val="a"/>
    <w:link w:val="aa"/>
    <w:uiPriority w:val="99"/>
    <w:unhideWhenUsed/>
    <w:rsid w:val="00D7206C"/>
    <w:pPr>
      <w:tabs>
        <w:tab w:val="center" w:pos="4153"/>
        <w:tab w:val="right" w:pos="8306"/>
      </w:tabs>
      <w:snapToGrid w:val="0"/>
    </w:pPr>
    <w:rPr>
      <w:sz w:val="20"/>
      <w:szCs w:val="20"/>
    </w:rPr>
  </w:style>
  <w:style w:type="character" w:customStyle="1" w:styleId="aa">
    <w:name w:val="頁尾 字元"/>
    <w:basedOn w:val="a0"/>
    <w:link w:val="a9"/>
    <w:uiPriority w:val="99"/>
    <w:rsid w:val="00D7206C"/>
    <w:rPr>
      <w:sz w:val="20"/>
      <w:szCs w:val="20"/>
    </w:rPr>
  </w:style>
  <w:style w:type="paragraph" w:styleId="ab">
    <w:name w:val="List Paragraph"/>
    <w:basedOn w:val="a"/>
    <w:uiPriority w:val="34"/>
    <w:qFormat/>
    <w:rsid w:val="00B55533"/>
    <w:pPr>
      <w:ind w:leftChars="200" w:left="480"/>
    </w:pPr>
  </w:style>
  <w:style w:type="paragraph" w:styleId="ac">
    <w:name w:val="Balloon Text"/>
    <w:basedOn w:val="a"/>
    <w:link w:val="ad"/>
    <w:uiPriority w:val="99"/>
    <w:semiHidden/>
    <w:unhideWhenUsed/>
    <w:rsid w:val="00C13AB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C13A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607D6-D3F4-422C-BF72-3772C3F83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瞿漢強</dc:creator>
  <cp:lastModifiedBy>user</cp:lastModifiedBy>
  <cp:revision>2</cp:revision>
  <cp:lastPrinted>2018-04-27T07:19:00Z</cp:lastPrinted>
  <dcterms:created xsi:type="dcterms:W3CDTF">2018-05-17T06:22:00Z</dcterms:created>
  <dcterms:modified xsi:type="dcterms:W3CDTF">2018-05-17T06:22:00Z</dcterms:modified>
</cp:coreProperties>
</file>